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25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9008"/>
      </w:tblGrid>
      <w:tr w:rsidR="005101EC" w:rsidRPr="009374D9" w:rsidTr="005101EC">
        <w:trPr>
          <w:trHeight w:val="770"/>
        </w:trPr>
        <w:tc>
          <w:tcPr>
            <w:tcW w:w="1603" w:type="dxa"/>
          </w:tcPr>
          <w:p w:rsidR="005101EC" w:rsidRPr="009374D9" w:rsidRDefault="005101EC" w:rsidP="0051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8" w:type="dxa"/>
          </w:tcPr>
          <w:p w:rsidR="00E97946" w:rsidRPr="00E97946" w:rsidRDefault="00E97946" w:rsidP="00E97946">
            <w:pPr>
              <w:tabs>
                <w:tab w:val="left" w:pos="2760"/>
                <w:tab w:val="center" w:pos="4819"/>
              </w:tabs>
              <w:spacing w:line="240" w:lineRule="atLeast"/>
              <w:jc w:val="center"/>
              <w:rPr>
                <w:sz w:val="16"/>
                <w:szCs w:val="16"/>
              </w:rPr>
            </w:pPr>
            <w:r w:rsidRPr="00E97946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240258" cy="261171"/>
                  <wp:effectExtent l="19050" t="0" r="7392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18" cy="261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946" w:rsidRPr="00E97946" w:rsidRDefault="00E97946" w:rsidP="00E97946">
            <w:pPr>
              <w:pStyle w:val="Intestazione"/>
              <w:spacing w:line="264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97946">
              <w:rPr>
                <w:rFonts w:asciiTheme="minorHAnsi" w:hAnsiTheme="minorHAnsi"/>
                <w:sz w:val="16"/>
                <w:szCs w:val="16"/>
              </w:rPr>
              <w:t>Ministero dell’Istruzione, dell’Università e della Ricerca</w:t>
            </w:r>
          </w:p>
          <w:p w:rsidR="00E97946" w:rsidRPr="00E97946" w:rsidRDefault="00E97946" w:rsidP="00E97946">
            <w:pPr>
              <w:widowControl w:val="0"/>
              <w:spacing w:after="0"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97946">
              <w:rPr>
                <w:rFonts w:asciiTheme="minorHAnsi" w:hAnsiTheme="minorHAnsi"/>
                <w:sz w:val="16"/>
                <w:szCs w:val="16"/>
              </w:rPr>
              <w:t>ISTITUTO COMPRENSIVO “GIOVANNI BERTACCHI”</w:t>
            </w:r>
          </w:p>
          <w:p w:rsidR="00E97946" w:rsidRPr="00E97946" w:rsidRDefault="00E97946" w:rsidP="00E97946">
            <w:pPr>
              <w:widowControl w:val="0"/>
              <w:spacing w:after="0"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97946">
              <w:rPr>
                <w:rFonts w:asciiTheme="minorHAnsi" w:hAnsiTheme="minorHAnsi"/>
                <w:sz w:val="16"/>
                <w:szCs w:val="16"/>
              </w:rPr>
              <w:t>Scuola Infanzia Primaria e Secondaria di I grado</w:t>
            </w:r>
          </w:p>
          <w:p w:rsidR="00E97946" w:rsidRPr="00E97946" w:rsidRDefault="00E97946" w:rsidP="00E97946">
            <w:pPr>
              <w:widowControl w:val="0"/>
              <w:spacing w:after="0"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97946">
              <w:rPr>
                <w:rFonts w:asciiTheme="minorHAnsi" w:hAnsiTheme="minorHAnsi"/>
                <w:sz w:val="16"/>
                <w:szCs w:val="16"/>
              </w:rPr>
              <w:t>23022 CHIAVENNA (SO) Piazza Don P. Bormetti,  3 – C.F. 81002090140</w:t>
            </w:r>
          </w:p>
          <w:p w:rsidR="00E97946" w:rsidRPr="00E97946" w:rsidRDefault="00E97946" w:rsidP="00E97946">
            <w:pPr>
              <w:pStyle w:val="Intestazione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97946">
              <w:rPr>
                <w:rFonts w:asciiTheme="minorHAnsi" w:hAnsiTheme="minorHAnsi"/>
                <w:sz w:val="16"/>
                <w:szCs w:val="16"/>
              </w:rPr>
              <w:t xml:space="preserve">Tel e fax 0343/32353  e-mail </w:t>
            </w:r>
            <w:hyperlink r:id="rId8" w:history="1">
              <w:r w:rsidRPr="00E97946">
                <w:rPr>
                  <w:rStyle w:val="Collegamentoipertestuale"/>
                  <w:rFonts w:asciiTheme="minorHAnsi" w:hAnsiTheme="minorHAnsi"/>
                  <w:sz w:val="16"/>
                  <w:szCs w:val="16"/>
                </w:rPr>
                <w:t>soic80500d@istruzione.it</w:t>
              </w:r>
            </w:hyperlink>
          </w:p>
          <w:p w:rsidR="00E97946" w:rsidRPr="00E97946" w:rsidRDefault="00E97946" w:rsidP="00E97946">
            <w:pPr>
              <w:tabs>
                <w:tab w:val="left" w:pos="1134"/>
              </w:tabs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97946">
              <w:rPr>
                <w:rFonts w:asciiTheme="minorHAnsi" w:hAnsiTheme="minorHAnsi"/>
                <w:sz w:val="16"/>
                <w:szCs w:val="16"/>
              </w:rPr>
              <w:t xml:space="preserve">Posta elettronica certificata </w:t>
            </w:r>
            <w:hyperlink r:id="rId9" w:history="1">
              <w:r w:rsidRPr="00E97946">
                <w:rPr>
                  <w:rStyle w:val="Collegamentoipertestuale"/>
                  <w:rFonts w:asciiTheme="minorHAnsi" w:hAnsiTheme="minorHAnsi"/>
                  <w:sz w:val="16"/>
                  <w:szCs w:val="16"/>
                </w:rPr>
                <w:t>soic80500d@pec.istruzione.it</w:t>
              </w:r>
            </w:hyperlink>
          </w:p>
          <w:p w:rsidR="005101EC" w:rsidRPr="009374D9" w:rsidRDefault="005101EC" w:rsidP="005101EC">
            <w:pPr>
              <w:spacing w:after="0" w:line="2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5101EC" w:rsidRDefault="005101EC" w:rsidP="005101EC">
      <w:pPr>
        <w:pStyle w:val="Default"/>
        <w:jc w:val="center"/>
        <w:rPr>
          <w:b/>
          <w:bCs/>
          <w:iCs/>
          <w:sz w:val="18"/>
          <w:szCs w:val="18"/>
        </w:rPr>
      </w:pPr>
    </w:p>
    <w:p w:rsidR="00CC5286" w:rsidRDefault="00D909DD" w:rsidP="007118B7">
      <w:pPr>
        <w:pStyle w:val="Default"/>
        <w:rPr>
          <w:b/>
          <w:bCs/>
          <w:iCs/>
          <w:sz w:val="18"/>
          <w:szCs w:val="18"/>
        </w:rPr>
      </w:pPr>
      <w:r w:rsidRPr="004D6A1A">
        <w:rPr>
          <w:b/>
          <w:bCs/>
          <w:iCs/>
          <w:sz w:val="18"/>
          <w:szCs w:val="18"/>
        </w:rPr>
        <w:t>I</w:t>
      </w:r>
      <w:r w:rsidR="001676C1" w:rsidRPr="004D6A1A">
        <w:rPr>
          <w:b/>
          <w:bCs/>
          <w:iCs/>
          <w:sz w:val="18"/>
          <w:szCs w:val="18"/>
        </w:rPr>
        <w:t xml:space="preserve">ndice </w:t>
      </w:r>
    </w:p>
    <w:p w:rsidR="001676C1" w:rsidRDefault="00DC1C67" w:rsidP="007118B7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Premessa</w:t>
      </w:r>
    </w:p>
    <w:p w:rsidR="00CA3E7E" w:rsidRPr="00CC5286" w:rsidRDefault="00CA3E7E" w:rsidP="007118B7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1.</w:t>
      </w:r>
      <w:r w:rsidR="00406F4D">
        <w:rPr>
          <w:b/>
          <w:bCs/>
          <w:sz w:val="16"/>
          <w:szCs w:val="16"/>
        </w:rPr>
        <w:t>Principi ispiratori</w:t>
      </w:r>
    </w:p>
    <w:p w:rsidR="001676C1" w:rsidRPr="007118B7" w:rsidRDefault="00406F4D" w:rsidP="007118B7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="001676C1" w:rsidRPr="007118B7">
        <w:rPr>
          <w:b/>
          <w:bCs/>
          <w:sz w:val="16"/>
          <w:szCs w:val="16"/>
        </w:rPr>
        <w:t xml:space="preserve">. </w:t>
      </w:r>
      <w:r w:rsidR="00CC5286">
        <w:rPr>
          <w:b/>
          <w:bCs/>
          <w:sz w:val="16"/>
          <w:szCs w:val="16"/>
        </w:rPr>
        <w:t>E</w:t>
      </w:r>
      <w:r w:rsidR="00DC1C67">
        <w:rPr>
          <w:b/>
          <w:bCs/>
          <w:sz w:val="16"/>
          <w:szCs w:val="16"/>
        </w:rPr>
        <w:t xml:space="preserve">laborazione del programma </w:t>
      </w:r>
    </w:p>
    <w:p w:rsidR="00406F4D" w:rsidRDefault="00406F4D" w:rsidP="007118B7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 Obiettivi strategici</w:t>
      </w:r>
    </w:p>
    <w:p w:rsidR="007118B7" w:rsidRPr="007118B7" w:rsidRDefault="007118B7" w:rsidP="007118B7">
      <w:pPr>
        <w:pStyle w:val="Default"/>
        <w:rPr>
          <w:sz w:val="16"/>
          <w:szCs w:val="16"/>
        </w:rPr>
      </w:pPr>
    </w:p>
    <w:p w:rsidR="00AB05F3" w:rsidRPr="007118B7" w:rsidRDefault="007118B7" w:rsidP="007118B7">
      <w:pPr>
        <w:jc w:val="center"/>
        <w:rPr>
          <w:rFonts w:cs="Aharoni"/>
          <w:b/>
          <w:bCs/>
          <w:iCs/>
          <w:sz w:val="32"/>
          <w:szCs w:val="32"/>
        </w:rPr>
      </w:pPr>
      <w:r w:rsidRPr="007118B7">
        <w:rPr>
          <w:rFonts w:cs="Aharoni"/>
          <w:b/>
          <w:bCs/>
          <w:iCs/>
          <w:sz w:val="32"/>
          <w:szCs w:val="32"/>
          <w:bdr w:val="single" w:sz="4" w:space="0" w:color="auto"/>
        </w:rPr>
        <w:t>P</w:t>
      </w:r>
      <w:r w:rsidR="001676C1" w:rsidRPr="007118B7">
        <w:rPr>
          <w:rFonts w:cs="Aharoni"/>
          <w:b/>
          <w:bCs/>
          <w:iCs/>
          <w:sz w:val="32"/>
          <w:szCs w:val="32"/>
          <w:bdr w:val="single" w:sz="4" w:space="0" w:color="auto"/>
        </w:rPr>
        <w:t>ROGRAMMA TRIENNALE PER LA TRASPARENZA E L’INTEGRITÀ</w:t>
      </w:r>
    </w:p>
    <w:p w:rsidR="00CC5286" w:rsidRDefault="00CC5286" w:rsidP="00AF19E2">
      <w:pPr>
        <w:spacing w:after="0" w:line="0" w:lineRule="atLeast"/>
        <w:jc w:val="both"/>
        <w:rPr>
          <w:rFonts w:cs="Aharoni"/>
          <w:bCs/>
          <w:iCs/>
          <w:sz w:val="20"/>
          <w:szCs w:val="20"/>
        </w:rPr>
      </w:pPr>
      <w:r>
        <w:rPr>
          <w:rFonts w:cs="Aharoni"/>
          <w:bCs/>
          <w:iCs/>
          <w:sz w:val="20"/>
          <w:szCs w:val="20"/>
        </w:rPr>
        <w:t>PREME</w:t>
      </w:r>
      <w:r w:rsidR="00D569B8">
        <w:rPr>
          <w:rFonts w:cs="Aharoni"/>
          <w:bCs/>
          <w:iCs/>
          <w:sz w:val="20"/>
          <w:szCs w:val="20"/>
        </w:rPr>
        <w:t>SSA</w:t>
      </w:r>
    </w:p>
    <w:p w:rsidR="001676C1" w:rsidRPr="007118B7" w:rsidRDefault="001676C1" w:rsidP="00AF19E2">
      <w:pPr>
        <w:spacing w:after="0" w:line="0" w:lineRule="atLeast"/>
        <w:jc w:val="both"/>
        <w:rPr>
          <w:rFonts w:cs="Aharoni"/>
          <w:bCs/>
          <w:iCs/>
          <w:sz w:val="20"/>
          <w:szCs w:val="20"/>
        </w:rPr>
      </w:pPr>
      <w:r w:rsidRPr="007118B7">
        <w:rPr>
          <w:rFonts w:cs="Aharoni"/>
          <w:bCs/>
          <w:iCs/>
          <w:sz w:val="20"/>
          <w:szCs w:val="20"/>
        </w:rPr>
        <w:t>Il 20 aprile 2013 è entrato in vigore il D.Lgs.n.33 del 14.3.13, recante “riordino riguardante gli obblighi di pubblicità, trasparenza</w:t>
      </w:r>
      <w:r w:rsidR="008D4F75">
        <w:rPr>
          <w:rFonts w:cs="Aharoni"/>
          <w:bCs/>
          <w:iCs/>
          <w:sz w:val="20"/>
          <w:szCs w:val="20"/>
        </w:rPr>
        <w:t xml:space="preserve"> </w:t>
      </w:r>
      <w:r w:rsidRPr="007118B7">
        <w:rPr>
          <w:rFonts w:cs="Aharoni"/>
          <w:bCs/>
          <w:iCs/>
          <w:sz w:val="20"/>
          <w:szCs w:val="20"/>
        </w:rPr>
        <w:t>e diffusione di informazioni da parte delle pubbliche amministrazioni”. Raccoglie in un unico corpo le disposizioni vigenti in materia di trasparenza, misura fondamentale per la prevenzione della corruzione</w:t>
      </w:r>
      <w:r w:rsidR="0064459A" w:rsidRPr="007118B7">
        <w:rPr>
          <w:sz w:val="20"/>
          <w:szCs w:val="20"/>
        </w:rPr>
        <w:t xml:space="preserve"> Nel decreto è specificato che le misure del Programma triennale della trasparenza e dell’integrità sono collegate al Piano triennale della prevenzione della corruzione e che, a tal fine, il Programma costituisce, di norma, una sezione di detto Piano</w:t>
      </w:r>
      <w:r w:rsidRPr="007118B7">
        <w:rPr>
          <w:rFonts w:cs="Aharoni"/>
          <w:bCs/>
          <w:iCs/>
          <w:sz w:val="20"/>
          <w:szCs w:val="20"/>
        </w:rPr>
        <w:t>.</w:t>
      </w:r>
    </w:p>
    <w:p w:rsidR="001676C1" w:rsidRPr="007118B7" w:rsidRDefault="00C01A3D" w:rsidP="00AF19E2">
      <w:pPr>
        <w:spacing w:after="0" w:line="0" w:lineRule="atLeast"/>
        <w:jc w:val="both"/>
        <w:rPr>
          <w:rFonts w:cs="Aharoni"/>
          <w:bCs/>
          <w:iCs/>
          <w:sz w:val="20"/>
          <w:szCs w:val="20"/>
        </w:rPr>
      </w:pPr>
      <w:r w:rsidRPr="007118B7">
        <w:rPr>
          <w:rFonts w:cs="Aharoni"/>
          <w:bCs/>
          <w:iCs/>
          <w:sz w:val="20"/>
          <w:szCs w:val="20"/>
        </w:rPr>
        <w:t>Il programma r</w:t>
      </w:r>
      <w:r w:rsidR="001676C1" w:rsidRPr="007118B7">
        <w:rPr>
          <w:rFonts w:cs="Aharoni"/>
          <w:bCs/>
          <w:iCs/>
          <w:sz w:val="20"/>
          <w:szCs w:val="20"/>
        </w:rPr>
        <w:t>appresenta anche un’opportunità per i dirigenti di evidenziare il corretto agire amministrativo, alimentando la fiducia dei cittadini nell’amministrazione.</w:t>
      </w:r>
    </w:p>
    <w:p w:rsidR="001676C1" w:rsidRPr="007118B7" w:rsidRDefault="001676C1" w:rsidP="00AF19E2">
      <w:pPr>
        <w:spacing w:after="0" w:line="0" w:lineRule="atLeast"/>
        <w:jc w:val="both"/>
        <w:rPr>
          <w:rFonts w:cs="Aharoni"/>
          <w:bCs/>
          <w:iCs/>
          <w:sz w:val="20"/>
          <w:szCs w:val="20"/>
        </w:rPr>
      </w:pPr>
      <w:r w:rsidRPr="007118B7">
        <w:rPr>
          <w:rFonts w:cs="Aharoni"/>
          <w:bCs/>
          <w:iCs/>
          <w:sz w:val="20"/>
          <w:szCs w:val="20"/>
        </w:rPr>
        <w:t xml:space="preserve">Con del. 50/2013 la CIVIT ha approvato le “linee guida per l’aggiornamento </w:t>
      </w:r>
      <w:r w:rsidR="0064459A" w:rsidRPr="007118B7">
        <w:rPr>
          <w:rFonts w:cs="Aharoni"/>
          <w:bCs/>
          <w:iCs/>
          <w:sz w:val="20"/>
          <w:szCs w:val="20"/>
        </w:rPr>
        <w:t>del programma triennale per la trasparenza e l’integrità 2014-16, già previsto dalla normativa precedente, prevedendone l’adozione entro il 31 gennaio 14.</w:t>
      </w:r>
    </w:p>
    <w:p w:rsidR="00C01A3D" w:rsidRPr="007118B7" w:rsidRDefault="0064459A" w:rsidP="00AF19E2">
      <w:pPr>
        <w:autoSpaceDE w:val="0"/>
        <w:autoSpaceDN w:val="0"/>
        <w:adjustRightInd w:val="0"/>
        <w:spacing w:after="0" w:line="0" w:lineRule="atLeast"/>
        <w:jc w:val="both"/>
        <w:rPr>
          <w:rFonts w:cs="Aharoni"/>
          <w:bCs/>
          <w:iCs/>
          <w:sz w:val="20"/>
          <w:szCs w:val="20"/>
        </w:rPr>
      </w:pPr>
      <w:r w:rsidRPr="007118B7">
        <w:rPr>
          <w:rFonts w:cs="Aharoni"/>
          <w:bCs/>
          <w:iCs/>
          <w:sz w:val="20"/>
          <w:szCs w:val="20"/>
        </w:rPr>
        <w:t xml:space="preserve">Contemporaneamente al Programma occorre nominare il Responsabile della trasparenza, che assume anche l’incarico della prevenzione della corruzione. </w:t>
      </w:r>
    </w:p>
    <w:p w:rsidR="0064459A" w:rsidRPr="007118B7" w:rsidRDefault="00C01A3D" w:rsidP="00AF19E2">
      <w:pPr>
        <w:autoSpaceDE w:val="0"/>
        <w:autoSpaceDN w:val="0"/>
        <w:adjustRightInd w:val="0"/>
        <w:spacing w:after="0" w:line="0" w:lineRule="atLeast"/>
        <w:jc w:val="both"/>
        <w:rPr>
          <w:rFonts w:cs="Aharoni"/>
          <w:iCs/>
          <w:sz w:val="20"/>
          <w:szCs w:val="20"/>
        </w:rPr>
      </w:pPr>
      <w:r w:rsidRPr="007118B7">
        <w:rPr>
          <w:rFonts w:cs="Aharoni"/>
          <w:sz w:val="20"/>
          <w:szCs w:val="20"/>
        </w:rPr>
        <w:t>T</w:t>
      </w:r>
      <w:r w:rsidR="0064459A" w:rsidRPr="007118B7">
        <w:rPr>
          <w:rFonts w:cs="Aharoni"/>
          <w:sz w:val="20"/>
          <w:szCs w:val="20"/>
        </w:rPr>
        <w:t>rasparenza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è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 xml:space="preserve">intesa </w:t>
      </w:r>
      <w:r w:rsidR="0064459A" w:rsidRPr="007118B7">
        <w:rPr>
          <w:rFonts w:cs="Aharoni"/>
          <w:sz w:val="20"/>
          <w:szCs w:val="20"/>
        </w:rPr>
        <w:t>come</w:t>
      </w:r>
      <w:r w:rsidR="008D4F75">
        <w:rPr>
          <w:rFonts w:cs="Aharoni"/>
          <w:sz w:val="20"/>
          <w:szCs w:val="20"/>
        </w:rPr>
        <w:t xml:space="preserve"> </w:t>
      </w:r>
      <w:r w:rsidR="0064459A" w:rsidRPr="007118B7">
        <w:rPr>
          <w:rFonts w:cs="Aharoni"/>
          <w:sz w:val="20"/>
          <w:szCs w:val="20"/>
        </w:rPr>
        <w:t>“</w:t>
      </w:r>
      <w:r w:rsidRPr="007118B7">
        <w:rPr>
          <w:rFonts w:cs="Aharoni"/>
          <w:iCs/>
          <w:sz w:val="20"/>
          <w:szCs w:val="20"/>
        </w:rPr>
        <w:t xml:space="preserve">accessibilità </w:t>
      </w:r>
      <w:r w:rsidR="0064459A" w:rsidRPr="007118B7">
        <w:rPr>
          <w:rFonts w:cs="Aharoni"/>
          <w:iCs/>
          <w:sz w:val="20"/>
          <w:szCs w:val="20"/>
        </w:rPr>
        <w:t>totale</w:t>
      </w:r>
      <w:r w:rsidR="008D4F75">
        <w:rPr>
          <w:rFonts w:cs="Aharoni"/>
          <w:iCs/>
          <w:sz w:val="20"/>
          <w:szCs w:val="20"/>
        </w:rPr>
        <w:t xml:space="preserve"> </w:t>
      </w:r>
      <w:r w:rsidR="0050698C">
        <w:rPr>
          <w:rFonts w:cs="Aharoni"/>
          <w:iCs/>
          <w:sz w:val="20"/>
          <w:szCs w:val="20"/>
        </w:rPr>
        <w:t>”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delle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informazioni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concernenti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ogni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aspetto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dell’organizzazione,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degli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indicatori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relativi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agli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andamenti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gestionali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all’utilizzo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delle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risorse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per</w:t>
      </w:r>
      <w:r w:rsidR="008D4F75">
        <w:rPr>
          <w:rFonts w:cs="Aharoni"/>
          <w:iCs/>
          <w:sz w:val="20"/>
          <w:szCs w:val="20"/>
        </w:rPr>
        <w:t xml:space="preserve"> </w:t>
      </w:r>
      <w:r w:rsidR="00D909DD" w:rsidRPr="007118B7">
        <w:rPr>
          <w:rFonts w:cs="Aharoni"/>
          <w:iCs/>
          <w:sz w:val="20"/>
          <w:szCs w:val="20"/>
        </w:rPr>
        <w:t>i</w:t>
      </w:r>
      <w:r w:rsidR="0064459A" w:rsidRPr="007118B7">
        <w:rPr>
          <w:rFonts w:cs="Aharoni"/>
          <w:iCs/>
          <w:sz w:val="20"/>
          <w:szCs w:val="20"/>
        </w:rPr>
        <w:t>l</w:t>
      </w:r>
      <w:r w:rsidRPr="007118B7">
        <w:rPr>
          <w:rFonts w:cs="Aharoni"/>
          <w:iCs/>
          <w:sz w:val="20"/>
          <w:szCs w:val="20"/>
        </w:rPr>
        <w:t xml:space="preserve"> p</w:t>
      </w:r>
      <w:r w:rsidR="0064459A" w:rsidRPr="007118B7">
        <w:rPr>
          <w:rFonts w:cs="Aharoni"/>
          <w:iCs/>
          <w:sz w:val="20"/>
          <w:szCs w:val="20"/>
        </w:rPr>
        <w:t>erseguimento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delle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funzioni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istituzionali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risultati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dell’attività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di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misurazione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e</w:t>
      </w:r>
      <w:r w:rsidR="008D4F75">
        <w:rPr>
          <w:rFonts w:cs="Aharoni"/>
          <w:iCs/>
          <w:sz w:val="20"/>
          <w:szCs w:val="20"/>
        </w:rPr>
        <w:t xml:space="preserve"> </w:t>
      </w:r>
      <w:r w:rsidR="0064459A" w:rsidRPr="007118B7">
        <w:rPr>
          <w:rFonts w:cs="Aharoni"/>
          <w:iCs/>
          <w:sz w:val="20"/>
          <w:szCs w:val="20"/>
        </w:rPr>
        <w:t>valutazione</w:t>
      </w:r>
      <w:r w:rsidR="0050698C">
        <w:rPr>
          <w:rFonts w:cs="Aharoni"/>
          <w:iCs/>
          <w:sz w:val="20"/>
          <w:szCs w:val="20"/>
        </w:rPr>
        <w:t>.</w:t>
      </w:r>
    </w:p>
    <w:p w:rsidR="0064459A" w:rsidRDefault="0064459A" w:rsidP="00AF19E2">
      <w:pPr>
        <w:autoSpaceDE w:val="0"/>
        <w:autoSpaceDN w:val="0"/>
        <w:adjustRightInd w:val="0"/>
        <w:spacing w:after="0" w:line="0" w:lineRule="atLeast"/>
        <w:jc w:val="both"/>
        <w:rPr>
          <w:rFonts w:cs="Aharoni"/>
          <w:sz w:val="20"/>
          <w:szCs w:val="20"/>
        </w:rPr>
      </w:pPr>
      <w:r w:rsidRPr="007118B7">
        <w:rPr>
          <w:rFonts w:cs="Aharoni"/>
          <w:sz w:val="20"/>
          <w:szCs w:val="20"/>
        </w:rPr>
        <w:t>Il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concetto</w:t>
      </w:r>
      <w:r w:rsidR="00C01A3D" w:rsidRPr="007118B7">
        <w:rPr>
          <w:rFonts w:cs="Aharoni"/>
          <w:sz w:val="20"/>
          <w:szCs w:val="20"/>
        </w:rPr>
        <w:t xml:space="preserve"> di </w:t>
      </w:r>
      <w:r w:rsidRPr="007118B7">
        <w:rPr>
          <w:rFonts w:cs="Aharoni"/>
          <w:sz w:val="20"/>
          <w:szCs w:val="20"/>
        </w:rPr>
        <w:t>trasparenza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assume</w:t>
      </w:r>
      <w:r w:rsidR="00C01A3D" w:rsidRPr="007118B7">
        <w:rPr>
          <w:rFonts w:cs="Aharoni"/>
          <w:sz w:val="20"/>
          <w:szCs w:val="20"/>
        </w:rPr>
        <w:t xml:space="preserve"> in </w:t>
      </w:r>
      <w:r w:rsidRPr="007118B7">
        <w:rPr>
          <w:rFonts w:cs="Aharoni"/>
          <w:sz w:val="20"/>
          <w:szCs w:val="20"/>
        </w:rPr>
        <w:t>questo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ambito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una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connotazione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d</w:t>
      </w:r>
      <w:r w:rsidR="00C01A3D" w:rsidRPr="007118B7">
        <w:rPr>
          <w:rFonts w:cs="Aharoni"/>
          <w:sz w:val="20"/>
          <w:szCs w:val="20"/>
        </w:rPr>
        <w:t>i</w:t>
      </w:r>
      <w:r w:rsidRPr="007118B7">
        <w:rPr>
          <w:rFonts w:cs="Aharoni"/>
          <w:sz w:val="20"/>
          <w:szCs w:val="20"/>
        </w:rPr>
        <w:t>fferente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rispetto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quella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contenuta</w:t>
      </w:r>
      <w:r w:rsidR="008D4F75">
        <w:rPr>
          <w:rFonts w:cs="Aharoni"/>
          <w:sz w:val="20"/>
          <w:szCs w:val="20"/>
        </w:rPr>
        <w:t xml:space="preserve"> n</w:t>
      </w:r>
      <w:r w:rsidRPr="007118B7">
        <w:rPr>
          <w:rFonts w:cs="Aharoni"/>
          <w:sz w:val="20"/>
          <w:szCs w:val="20"/>
        </w:rPr>
        <w:t>ella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L.241/90,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dove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la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trasparenza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è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collegata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al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diritto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di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accesso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e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alla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titolarità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di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un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interesse;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in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questo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contesto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la</w:t>
      </w:r>
      <w:r w:rsidR="00C01A3D" w:rsidRPr="007118B7">
        <w:rPr>
          <w:rFonts w:cs="Aharoni"/>
          <w:sz w:val="20"/>
          <w:szCs w:val="20"/>
        </w:rPr>
        <w:t xml:space="preserve"> t</w:t>
      </w:r>
      <w:r w:rsidRPr="007118B7">
        <w:rPr>
          <w:rFonts w:cs="Aharoni"/>
          <w:sz w:val="20"/>
          <w:szCs w:val="20"/>
        </w:rPr>
        <w:t>rasparenza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diventa</w:t>
      </w:r>
      <w:r w:rsidR="008D4F75">
        <w:rPr>
          <w:rFonts w:cs="Aharoni"/>
          <w:sz w:val="20"/>
          <w:szCs w:val="20"/>
        </w:rPr>
        <w:t xml:space="preserve"> </w:t>
      </w:r>
      <w:r w:rsidRPr="007118B7">
        <w:rPr>
          <w:rFonts w:cs="Aharoni"/>
          <w:sz w:val="20"/>
          <w:szCs w:val="20"/>
        </w:rPr>
        <w:t>“</w:t>
      </w:r>
      <w:r w:rsidRPr="007118B7">
        <w:rPr>
          <w:rFonts w:cs="Aharoni"/>
          <w:iCs/>
          <w:sz w:val="20"/>
          <w:szCs w:val="20"/>
        </w:rPr>
        <w:t>accessibilità</w:t>
      </w:r>
      <w:r w:rsidR="008D4F75">
        <w:rPr>
          <w:rFonts w:cs="Aharoni"/>
          <w:iCs/>
          <w:sz w:val="20"/>
          <w:szCs w:val="20"/>
        </w:rPr>
        <w:t xml:space="preserve"> </w:t>
      </w:r>
      <w:r w:rsidRPr="007118B7">
        <w:rPr>
          <w:rFonts w:cs="Aharoni"/>
          <w:iCs/>
          <w:sz w:val="20"/>
          <w:szCs w:val="20"/>
        </w:rPr>
        <w:t>totale</w:t>
      </w:r>
      <w:r w:rsidR="00C01A3D" w:rsidRPr="007118B7">
        <w:rPr>
          <w:rFonts w:cs="Aharoni"/>
          <w:iCs/>
          <w:sz w:val="20"/>
          <w:szCs w:val="20"/>
        </w:rPr>
        <w:t xml:space="preserve"> da </w:t>
      </w:r>
      <w:r w:rsidRPr="007118B7">
        <w:rPr>
          <w:rFonts w:cs="Aharoni"/>
          <w:iCs/>
          <w:sz w:val="20"/>
          <w:szCs w:val="20"/>
        </w:rPr>
        <w:t>parte</w:t>
      </w:r>
      <w:r w:rsidR="008D4F75">
        <w:rPr>
          <w:rFonts w:cs="Aharoni"/>
          <w:iCs/>
          <w:sz w:val="20"/>
          <w:szCs w:val="20"/>
        </w:rPr>
        <w:t xml:space="preserve"> </w:t>
      </w:r>
      <w:r w:rsidRPr="007118B7">
        <w:rPr>
          <w:rFonts w:cs="Aharoni"/>
          <w:iCs/>
          <w:sz w:val="20"/>
          <w:szCs w:val="20"/>
        </w:rPr>
        <w:t>dell’intera</w:t>
      </w:r>
      <w:r w:rsidR="00C01A3D" w:rsidRPr="007118B7">
        <w:rPr>
          <w:rFonts w:cs="Aharoni"/>
          <w:iCs/>
          <w:sz w:val="20"/>
          <w:szCs w:val="20"/>
        </w:rPr>
        <w:t xml:space="preserve">  c</w:t>
      </w:r>
      <w:r w:rsidRPr="007118B7">
        <w:rPr>
          <w:rFonts w:cs="Aharoni"/>
          <w:iCs/>
          <w:sz w:val="20"/>
          <w:szCs w:val="20"/>
        </w:rPr>
        <w:t>ollettività</w:t>
      </w:r>
      <w:r w:rsidR="00C01A3D" w:rsidRPr="007118B7">
        <w:rPr>
          <w:rFonts w:cs="Aharoni"/>
          <w:iCs/>
          <w:sz w:val="20"/>
          <w:szCs w:val="20"/>
        </w:rPr>
        <w:t xml:space="preserve"> a </w:t>
      </w:r>
      <w:r w:rsidRPr="007118B7">
        <w:rPr>
          <w:rFonts w:cs="Aharoni"/>
          <w:iCs/>
          <w:sz w:val="20"/>
          <w:szCs w:val="20"/>
        </w:rPr>
        <w:t>tutte</w:t>
      </w:r>
      <w:r w:rsidR="008D4F75">
        <w:rPr>
          <w:rFonts w:cs="Aharoni"/>
          <w:iCs/>
          <w:sz w:val="20"/>
          <w:szCs w:val="20"/>
        </w:rPr>
        <w:t xml:space="preserve"> </w:t>
      </w:r>
      <w:r w:rsidRPr="007118B7">
        <w:rPr>
          <w:rFonts w:cs="Aharoni"/>
          <w:iCs/>
          <w:sz w:val="20"/>
          <w:szCs w:val="20"/>
        </w:rPr>
        <w:t>le</w:t>
      </w:r>
      <w:r w:rsidR="008D4F75">
        <w:rPr>
          <w:rFonts w:cs="Aharoni"/>
          <w:iCs/>
          <w:sz w:val="20"/>
          <w:szCs w:val="20"/>
        </w:rPr>
        <w:t xml:space="preserve"> </w:t>
      </w:r>
      <w:r w:rsidRPr="007118B7">
        <w:rPr>
          <w:rFonts w:cs="Aharoni"/>
          <w:iCs/>
          <w:sz w:val="20"/>
          <w:szCs w:val="20"/>
        </w:rPr>
        <w:t>informazioni</w:t>
      </w:r>
      <w:r w:rsidR="008D4F75">
        <w:rPr>
          <w:rFonts w:cs="Aharoni"/>
          <w:iCs/>
          <w:sz w:val="20"/>
          <w:szCs w:val="20"/>
        </w:rPr>
        <w:t xml:space="preserve"> </w:t>
      </w:r>
      <w:r w:rsidRPr="007118B7">
        <w:rPr>
          <w:rFonts w:cs="Aharoni"/>
          <w:iCs/>
          <w:sz w:val="20"/>
          <w:szCs w:val="20"/>
        </w:rPr>
        <w:t>pubbliche</w:t>
      </w:r>
      <w:r w:rsidRPr="007118B7">
        <w:rPr>
          <w:rFonts w:cs="Aharoni"/>
          <w:sz w:val="20"/>
          <w:szCs w:val="20"/>
        </w:rPr>
        <w:t>”</w:t>
      </w:r>
      <w:r w:rsidR="00C01A3D" w:rsidRPr="007118B7">
        <w:rPr>
          <w:rFonts w:cs="Aharoni"/>
          <w:sz w:val="20"/>
          <w:szCs w:val="20"/>
        </w:rPr>
        <w:t>.</w:t>
      </w:r>
    </w:p>
    <w:p w:rsidR="00CA3E7E" w:rsidRDefault="00CA3E7E" w:rsidP="00AF19E2">
      <w:pPr>
        <w:autoSpaceDE w:val="0"/>
        <w:autoSpaceDN w:val="0"/>
        <w:adjustRightInd w:val="0"/>
        <w:spacing w:after="0" w:line="0" w:lineRule="atLeast"/>
        <w:jc w:val="both"/>
        <w:rPr>
          <w:rFonts w:cs="Aharoni"/>
          <w:sz w:val="20"/>
          <w:szCs w:val="20"/>
        </w:rPr>
      </w:pPr>
    </w:p>
    <w:p w:rsidR="00513611" w:rsidRDefault="00513611" w:rsidP="00AF19E2">
      <w:pPr>
        <w:autoSpaceDE w:val="0"/>
        <w:autoSpaceDN w:val="0"/>
        <w:adjustRightInd w:val="0"/>
        <w:spacing w:after="0" w:line="0" w:lineRule="atLeast"/>
        <w:jc w:val="both"/>
        <w:rPr>
          <w:rFonts w:cs="Aharoni"/>
          <w:b/>
          <w:sz w:val="20"/>
          <w:szCs w:val="20"/>
        </w:rPr>
      </w:pPr>
      <w:r w:rsidRPr="005C6DAA">
        <w:rPr>
          <w:rFonts w:cs="Aharoni"/>
          <w:b/>
          <w:sz w:val="20"/>
          <w:szCs w:val="20"/>
        </w:rPr>
        <w:t xml:space="preserve">Il responsabile della </w:t>
      </w:r>
      <w:r w:rsidR="005C6DAA" w:rsidRPr="005C6DAA">
        <w:rPr>
          <w:rFonts w:cs="Aharoni"/>
          <w:b/>
          <w:sz w:val="20"/>
          <w:szCs w:val="20"/>
        </w:rPr>
        <w:t>trasparenza per la scuola</w:t>
      </w:r>
      <w:r w:rsidRPr="005C6DAA">
        <w:rPr>
          <w:rFonts w:cs="Aharoni"/>
          <w:b/>
          <w:sz w:val="20"/>
          <w:szCs w:val="20"/>
        </w:rPr>
        <w:t>, di cui all’art.43 del decreto</w:t>
      </w:r>
      <w:r w:rsidR="005C6DAA" w:rsidRPr="005C6DAA">
        <w:rPr>
          <w:rFonts w:cs="Aharoni"/>
          <w:b/>
          <w:sz w:val="20"/>
          <w:szCs w:val="20"/>
        </w:rPr>
        <w:t>, è il Dirigente scolastico pro tempore.</w:t>
      </w:r>
    </w:p>
    <w:p w:rsidR="00CA3E7E" w:rsidRPr="005C6DAA" w:rsidRDefault="00CA3E7E" w:rsidP="00AF19E2">
      <w:pPr>
        <w:autoSpaceDE w:val="0"/>
        <w:autoSpaceDN w:val="0"/>
        <w:adjustRightInd w:val="0"/>
        <w:spacing w:after="0" w:line="0" w:lineRule="atLeast"/>
        <w:jc w:val="both"/>
        <w:rPr>
          <w:rFonts w:cs="Aharoni"/>
          <w:b/>
          <w:sz w:val="20"/>
          <w:szCs w:val="20"/>
        </w:rPr>
      </w:pPr>
    </w:p>
    <w:p w:rsidR="00CA3E7E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E96173">
        <w:rPr>
          <w:rFonts w:ascii="Calibri" w:hAnsi="Calibri"/>
          <w:color w:val="auto"/>
          <w:sz w:val="22"/>
          <w:szCs w:val="22"/>
        </w:rPr>
        <w:t xml:space="preserve">L’Istituto Comprensivo </w:t>
      </w:r>
      <w:r>
        <w:rPr>
          <w:rFonts w:ascii="Calibri" w:hAnsi="Calibri"/>
          <w:color w:val="auto"/>
          <w:sz w:val="22"/>
          <w:szCs w:val="22"/>
        </w:rPr>
        <w:t xml:space="preserve">“Bertacchi” di Chiavenna </w:t>
      </w:r>
      <w:r w:rsidRPr="00E96173">
        <w:rPr>
          <w:rFonts w:ascii="Calibri" w:hAnsi="Calibri"/>
          <w:color w:val="auto"/>
          <w:sz w:val="22"/>
          <w:szCs w:val="22"/>
        </w:rPr>
        <w:t>garantisce l’accesso della collettività alle “informazioni pubbliche” trattate dalla nostra scuola con il fine di favorire forme diffuse di controllo del rispetto dei principi di buon andamento e imparzialità dell'attività amministrativa sanciti dalla Carta Costituzionale</w:t>
      </w:r>
    </w:p>
    <w:p w:rsidR="00CA3E7E" w:rsidRPr="00E96173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E96173">
        <w:rPr>
          <w:rFonts w:ascii="Calibri" w:hAnsi="Calibri"/>
          <w:color w:val="auto"/>
          <w:sz w:val="22"/>
          <w:szCs w:val="22"/>
        </w:rPr>
        <w:t xml:space="preserve">(art. 97 Cost.). </w:t>
      </w:r>
    </w:p>
    <w:p w:rsidR="00CA3E7E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E96173">
        <w:rPr>
          <w:rFonts w:ascii="Calibri" w:hAnsi="Calibri"/>
          <w:color w:val="auto"/>
          <w:sz w:val="22"/>
          <w:szCs w:val="22"/>
        </w:rPr>
        <w:t xml:space="preserve">La pubblicazione delle informazioni da un lato è indice dell’andamento delle performance della P.A. e </w:t>
      </w:r>
    </w:p>
    <w:p w:rsidR="00CA3E7E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E96173">
        <w:rPr>
          <w:rFonts w:ascii="Calibri" w:hAnsi="Calibri"/>
          <w:color w:val="auto"/>
          <w:sz w:val="22"/>
          <w:szCs w:val="22"/>
        </w:rPr>
        <w:t>degli obiettivi espressi nel più generale ciclo di gestione della performance, dall’altro consente ai cittadini</w:t>
      </w:r>
    </w:p>
    <w:p w:rsidR="00CA3E7E" w:rsidRPr="00E96173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E96173">
        <w:rPr>
          <w:rFonts w:ascii="Calibri" w:hAnsi="Calibri"/>
          <w:color w:val="auto"/>
          <w:sz w:val="22"/>
          <w:szCs w:val="22"/>
        </w:rPr>
        <w:t xml:space="preserve"> e ai portatori d’interessi (stakeholders) la comparazione dei risultati raggiunti dagli amministratori, innescando processi virtuosi di miglioramento continuo della gestione della cosa pubblica attraverso un sistema di rendicontazione immediato a favore dei cittadini, con l’obiettivo di far emergere criticità e “buone pratiche” della Amministrazione. </w:t>
      </w:r>
    </w:p>
    <w:p w:rsidR="00CA3E7E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E96173">
        <w:rPr>
          <w:rFonts w:ascii="Calibri" w:hAnsi="Calibri"/>
          <w:color w:val="auto"/>
          <w:sz w:val="22"/>
          <w:szCs w:val="22"/>
        </w:rPr>
        <w:t xml:space="preserve">L’attuazione della disciplina della trasparenza non si esaurisce nella pubblicazione on line dei dati ma fa riferimento a iniziative volte a garantire un adeguato livello di trasparenza nonché a favorire la legalità e lo sviluppo della cultura dell’integrità. </w:t>
      </w:r>
    </w:p>
    <w:p w:rsidR="00CA3E7E" w:rsidRPr="00E96173" w:rsidRDefault="00CA3E7E" w:rsidP="00CA3E7E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CA3E7E" w:rsidRPr="00A26D1E" w:rsidRDefault="007E7284" w:rsidP="00CA3E7E">
      <w:pPr>
        <w:rPr>
          <w:b/>
          <w:color w:val="002060"/>
        </w:rPr>
      </w:pPr>
      <w:r>
        <w:rPr>
          <w:b/>
          <w:color w:val="002060"/>
        </w:rPr>
        <w:t xml:space="preserve">1 - </w:t>
      </w:r>
      <w:r w:rsidR="00CA3E7E" w:rsidRPr="00A26D1E">
        <w:rPr>
          <w:b/>
          <w:color w:val="002060"/>
        </w:rPr>
        <w:t>PRINCIPI ISPIRATORI</w:t>
      </w:r>
    </w:p>
    <w:p w:rsidR="00CA3E7E" w:rsidRPr="00E96173" w:rsidRDefault="00CA3E7E" w:rsidP="00CA3E7E">
      <w:r w:rsidRPr="00E96173">
        <w:t>Il PTTI si ispira ai seguenti principi:</w:t>
      </w:r>
    </w:p>
    <w:p w:rsidR="00CA3E7E" w:rsidRPr="00E96173" w:rsidRDefault="00CA3E7E" w:rsidP="00CA3E7E">
      <w:pPr>
        <w:spacing w:after="120"/>
      </w:pPr>
      <w:r w:rsidRPr="00E96173">
        <w:t>• “accessibilità totale”, come comportamento proattivo della scuola che, preventivamente, pubblica e rende accessibili informazioni riguardanti l’organizzazione, il funzionamento e le attività sviluppate dalla scuola, con la sola restrizione riguardante i dati sensibili e giudiziari di cui all’Art.4, comma 1, lettere “d” ed “e” del D.L.vo 196/2003;</w:t>
      </w:r>
    </w:p>
    <w:p w:rsidR="00CA3E7E" w:rsidRPr="00E96173" w:rsidRDefault="00CA3E7E" w:rsidP="00CA3E7E">
      <w:pPr>
        <w:spacing w:after="120"/>
      </w:pPr>
      <w:r w:rsidRPr="00E96173">
        <w:lastRenderedPageBreak/>
        <w:t xml:space="preserve">• la trasparenza come “livello essenziale di prestazione” di cui all’Art. 117, lettera “m”, della Costituzione, che conseguentemente rappresenta non soltanto una “facilitazione” all’accesso ai servizi erogati </w:t>
      </w:r>
      <w:r>
        <w:t xml:space="preserve">dall’Istituto Comprensivo </w:t>
      </w:r>
      <w:r w:rsidRPr="00E96173">
        <w:t xml:space="preserve"> “</w:t>
      </w:r>
      <w:r>
        <w:t>Bertacchi</w:t>
      </w:r>
      <w:r w:rsidRPr="00E96173">
        <w:t>” ma è essa stessa un servizio per il cittadino;</w:t>
      </w:r>
    </w:p>
    <w:p w:rsidR="00CA3E7E" w:rsidRDefault="00CA3E7E" w:rsidP="00CA3E7E">
      <w:pPr>
        <w:spacing w:after="120"/>
      </w:pPr>
      <w:r w:rsidRPr="00E96173">
        <w:t>• la trasparenza come presidio imprescindibile nella prevenzione della corruzione.</w:t>
      </w:r>
    </w:p>
    <w:p w:rsidR="00283808" w:rsidRPr="005C6DAA" w:rsidRDefault="00283808" w:rsidP="00AF19E2">
      <w:pPr>
        <w:autoSpaceDE w:val="0"/>
        <w:autoSpaceDN w:val="0"/>
        <w:adjustRightInd w:val="0"/>
        <w:spacing w:after="0" w:line="0" w:lineRule="atLeast"/>
        <w:rPr>
          <w:rFonts w:ascii="Candara" w:hAnsi="Candara" w:cs="Aharoni"/>
          <w:b/>
          <w:sz w:val="24"/>
          <w:szCs w:val="24"/>
        </w:rPr>
      </w:pPr>
    </w:p>
    <w:p w:rsidR="00C01A3D" w:rsidRPr="009678BA" w:rsidRDefault="000B1B5D" w:rsidP="00283808">
      <w:pPr>
        <w:autoSpaceDE w:val="0"/>
        <w:autoSpaceDN w:val="0"/>
        <w:adjustRightInd w:val="0"/>
        <w:spacing w:after="0" w:line="240" w:lineRule="auto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2</w:t>
      </w:r>
      <w:r w:rsidR="009678BA" w:rsidRPr="009678BA">
        <w:rPr>
          <w:rFonts w:cs="Aharoni"/>
          <w:b/>
          <w:sz w:val="24"/>
          <w:szCs w:val="24"/>
        </w:rPr>
        <w:t xml:space="preserve"> - </w:t>
      </w:r>
      <w:r w:rsidR="00283808" w:rsidRPr="009678BA">
        <w:rPr>
          <w:rFonts w:cs="Aharoni"/>
          <w:b/>
          <w:sz w:val="24"/>
          <w:szCs w:val="24"/>
        </w:rPr>
        <w:t>ELABORAZIONE DEL PROGRAMMA</w:t>
      </w:r>
    </w:p>
    <w:p w:rsidR="00283808" w:rsidRPr="00283808" w:rsidRDefault="00283808" w:rsidP="00283808">
      <w:pPr>
        <w:pStyle w:val="NormaleWeb"/>
        <w:spacing w:before="0" w:beforeAutospacing="0" w:after="0" w:afterAutospacing="0" w:line="240" w:lineRule="auto"/>
        <w:jc w:val="both"/>
        <w:rPr>
          <w:sz w:val="20"/>
          <w:szCs w:val="20"/>
        </w:rPr>
      </w:pPr>
      <w:r w:rsidRPr="00283808">
        <w:rPr>
          <w:sz w:val="20"/>
          <w:szCs w:val="20"/>
        </w:rPr>
        <w:t>L’attività di pianificazione si espleta su base triennale con specifico riferimento a:</w:t>
      </w:r>
    </w:p>
    <w:p w:rsidR="00283808" w:rsidRPr="00283808" w:rsidRDefault="0050698C" w:rsidP="00283808">
      <w:pPr>
        <w:pStyle w:val="NormaleWeb"/>
        <w:numPr>
          <w:ilvl w:val="0"/>
          <w:numId w:val="2"/>
        </w:numPr>
        <w:tabs>
          <w:tab w:val="clear" w:pos="720"/>
          <w:tab w:val="num" w:pos="300"/>
        </w:tabs>
        <w:spacing w:before="0" w:beforeAutospacing="0" w:after="0" w:afterAutospacing="0" w:line="240" w:lineRule="auto"/>
        <w:ind w:left="300" w:hanging="300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283808" w:rsidRPr="00283808">
        <w:rPr>
          <w:sz w:val="20"/>
          <w:szCs w:val="20"/>
        </w:rPr>
        <w:t>antenimento ed aggiornamento delle informazioni contenute sul sito internet della scuola;</w:t>
      </w:r>
    </w:p>
    <w:p w:rsidR="00283808" w:rsidRPr="00283808" w:rsidRDefault="0050698C" w:rsidP="00283808">
      <w:pPr>
        <w:pStyle w:val="NormaleWeb"/>
        <w:numPr>
          <w:ilvl w:val="0"/>
          <w:numId w:val="2"/>
        </w:numPr>
        <w:tabs>
          <w:tab w:val="clear" w:pos="720"/>
          <w:tab w:val="num" w:pos="300"/>
        </w:tabs>
        <w:spacing w:before="0" w:beforeAutospacing="0" w:after="0" w:afterAutospacing="0" w:line="240" w:lineRule="auto"/>
        <w:ind w:left="300" w:hanging="300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283808" w:rsidRPr="00283808">
        <w:rPr>
          <w:sz w:val="20"/>
          <w:szCs w:val="20"/>
        </w:rPr>
        <w:t xml:space="preserve">ispetto degli obblighi di pubblicazione di dati relativi alla organizzazione e attività della scuola, titolari di incarichi dirigenziali, collaborazione e consulenza, dotazione organica, incarichi conferiti ai dipendenti pubblici, </w:t>
      </w:r>
      <w:r w:rsidR="009678BA">
        <w:rPr>
          <w:sz w:val="20"/>
          <w:szCs w:val="20"/>
        </w:rPr>
        <w:t>d</w:t>
      </w:r>
      <w:r w:rsidR="00283808" w:rsidRPr="00283808">
        <w:rPr>
          <w:sz w:val="20"/>
          <w:szCs w:val="20"/>
        </w:rPr>
        <w:t>ati aggregati all'attività amministrativa, dati relativi a concessione di contributi, sussidi o benefici economici, dati relativi all'uso delle risorse pubbliche, prestazioni offerte e servizi erogati, tempi di pagamento dell'Amministrazione, dati relativi ai procedimenti amministrativi e controlli su dichiarazioni sostitutive e acquisizione d'ufficio degli atti, dati su contratti pubblici, servizi e forniture e indicazione di Piani e programmi per favorire forme di democrazia partecipata.</w:t>
      </w:r>
    </w:p>
    <w:p w:rsidR="00283808" w:rsidRPr="00283808" w:rsidRDefault="00283808" w:rsidP="00283808">
      <w:pPr>
        <w:pStyle w:val="NormaleWeb"/>
        <w:spacing w:before="0" w:beforeAutospacing="0" w:after="0" w:afterAutospacing="0" w:line="240" w:lineRule="auto"/>
        <w:jc w:val="both"/>
        <w:rPr>
          <w:sz w:val="20"/>
          <w:szCs w:val="20"/>
        </w:rPr>
      </w:pPr>
      <w:r w:rsidRPr="00283808">
        <w:rPr>
          <w:sz w:val="20"/>
          <w:szCs w:val="20"/>
        </w:rPr>
        <w:t>Lo sviluppo della cultura della legalità e dell’integrità sarà perseguito attraverso la realizzazione di iniziative cadenzate nel medio periodo</w:t>
      </w:r>
      <w:r w:rsidR="0050698C">
        <w:rPr>
          <w:sz w:val="20"/>
          <w:szCs w:val="20"/>
        </w:rPr>
        <w:t>,</w:t>
      </w:r>
      <w:r w:rsidRPr="00283808">
        <w:rPr>
          <w:sz w:val="20"/>
          <w:szCs w:val="20"/>
        </w:rPr>
        <w:t xml:space="preserve"> da definire.</w:t>
      </w:r>
    </w:p>
    <w:p w:rsidR="00F12BAF" w:rsidRDefault="00283808" w:rsidP="00F12BAF">
      <w:pPr>
        <w:autoSpaceDE w:val="0"/>
        <w:autoSpaceDN w:val="0"/>
        <w:adjustRightInd w:val="0"/>
        <w:spacing w:after="0" w:line="240" w:lineRule="auto"/>
        <w:jc w:val="both"/>
        <w:rPr>
          <w:rFonts w:cs="Candara-Bold"/>
          <w:bCs/>
          <w:color w:val="0E233D"/>
          <w:sz w:val="20"/>
          <w:szCs w:val="20"/>
        </w:rPr>
      </w:pPr>
      <w:r w:rsidRPr="00283808">
        <w:rPr>
          <w:sz w:val="20"/>
          <w:szCs w:val="20"/>
        </w:rPr>
        <w:t>Tutte le iniziative adottate per il raggiungimento degli obiettivi del programma e il loro stadio di attuazione saranno verificabili dai portatori di interesse (Stakeholders) e dai cittadini e costituiranno al tempo stesso un valido strumento per consentirne il miglioramento continuo.</w:t>
      </w:r>
    </w:p>
    <w:p w:rsidR="00F12BAF" w:rsidRPr="00AC426B" w:rsidRDefault="00F12BAF" w:rsidP="00F12BAF">
      <w:pPr>
        <w:autoSpaceDE w:val="0"/>
        <w:autoSpaceDN w:val="0"/>
        <w:adjustRightInd w:val="0"/>
        <w:spacing w:after="0" w:line="240" w:lineRule="auto"/>
        <w:jc w:val="both"/>
        <w:rPr>
          <w:rFonts w:cs="Candara-Bold"/>
          <w:bCs/>
          <w:color w:val="0E233D"/>
          <w:sz w:val="20"/>
          <w:szCs w:val="20"/>
        </w:rPr>
      </w:pPr>
      <w:r w:rsidRPr="00AC426B">
        <w:rPr>
          <w:rFonts w:cs="Candara-Bold"/>
          <w:bCs/>
          <w:color w:val="0E233D"/>
          <w:sz w:val="20"/>
          <w:szCs w:val="20"/>
        </w:rPr>
        <w:t xml:space="preserve">Il primo documento </w:t>
      </w:r>
      <w:r>
        <w:rPr>
          <w:rFonts w:cs="Candara-Bold"/>
          <w:bCs/>
          <w:color w:val="0E233D"/>
          <w:sz w:val="20"/>
          <w:szCs w:val="20"/>
        </w:rPr>
        <w:t xml:space="preserve">di trasparenza </w:t>
      </w:r>
      <w:r w:rsidRPr="00AC426B">
        <w:rPr>
          <w:rFonts w:cs="Candara-Bold"/>
          <w:bCs/>
          <w:color w:val="0E233D"/>
          <w:sz w:val="20"/>
          <w:szCs w:val="20"/>
        </w:rPr>
        <w:t>è il P</w:t>
      </w:r>
      <w:r w:rsidR="00B85B42">
        <w:rPr>
          <w:rFonts w:cs="Candara-Bold"/>
          <w:bCs/>
          <w:color w:val="0E233D"/>
          <w:sz w:val="20"/>
          <w:szCs w:val="20"/>
        </w:rPr>
        <w:t>T</w:t>
      </w:r>
      <w:r w:rsidRPr="00AC426B">
        <w:rPr>
          <w:rFonts w:cs="Candara-Bold"/>
          <w:bCs/>
          <w:color w:val="0E233D"/>
          <w:sz w:val="20"/>
          <w:szCs w:val="20"/>
        </w:rPr>
        <w:t>O</w:t>
      </w:r>
      <w:r>
        <w:rPr>
          <w:rFonts w:cs="Candara-Bold"/>
          <w:bCs/>
          <w:color w:val="0E233D"/>
          <w:sz w:val="20"/>
          <w:szCs w:val="20"/>
        </w:rPr>
        <w:t>F</w:t>
      </w:r>
      <w:r w:rsidRPr="00AC426B">
        <w:rPr>
          <w:rFonts w:cs="Candara-Bold"/>
          <w:bCs/>
          <w:color w:val="0E233D"/>
          <w:sz w:val="20"/>
          <w:szCs w:val="20"/>
        </w:rPr>
        <w:t xml:space="preserve">, carta d’identità dell’istituto che </w:t>
      </w:r>
      <w:r w:rsidR="00B85B42">
        <w:rPr>
          <w:rFonts w:cs="Candara-Bold"/>
          <w:bCs/>
          <w:color w:val="0E233D"/>
          <w:sz w:val="20"/>
          <w:szCs w:val="20"/>
        </w:rPr>
        <w:t>comunica</w:t>
      </w:r>
      <w:r w:rsidRPr="00AC426B">
        <w:rPr>
          <w:rFonts w:cs="Candara-Bold"/>
          <w:bCs/>
          <w:color w:val="0E233D"/>
          <w:sz w:val="20"/>
          <w:szCs w:val="20"/>
        </w:rPr>
        <w:t xml:space="preserve"> i servizi erogati, le modalità di erogazione e fruizione, la tempistica e la qualità che intende garantire.</w:t>
      </w:r>
    </w:p>
    <w:p w:rsidR="00F12BAF" w:rsidRPr="00AC426B" w:rsidRDefault="00B85B42" w:rsidP="00F12BAF">
      <w:pPr>
        <w:autoSpaceDE w:val="0"/>
        <w:autoSpaceDN w:val="0"/>
        <w:adjustRightInd w:val="0"/>
        <w:spacing w:after="0" w:line="240" w:lineRule="auto"/>
        <w:jc w:val="both"/>
        <w:rPr>
          <w:rFonts w:cs="Candara-Bold"/>
          <w:bCs/>
          <w:color w:val="0E233D"/>
          <w:sz w:val="20"/>
          <w:szCs w:val="20"/>
        </w:rPr>
      </w:pPr>
      <w:r>
        <w:rPr>
          <w:rFonts w:cs="Candara-Bold"/>
          <w:bCs/>
          <w:color w:val="0E233D"/>
          <w:sz w:val="20"/>
          <w:szCs w:val="20"/>
        </w:rPr>
        <w:t>Qu</w:t>
      </w:r>
      <w:r w:rsidR="00F12BAF" w:rsidRPr="00AC426B">
        <w:rPr>
          <w:rFonts w:cs="Candara-Bold"/>
          <w:bCs/>
          <w:color w:val="0E233D"/>
          <w:sz w:val="20"/>
          <w:szCs w:val="20"/>
        </w:rPr>
        <w:t xml:space="preserve">esta nuova partenza </w:t>
      </w:r>
      <w:r>
        <w:rPr>
          <w:rFonts w:cs="Candara-Bold"/>
          <w:bCs/>
          <w:color w:val="0E233D"/>
          <w:sz w:val="20"/>
          <w:szCs w:val="20"/>
        </w:rPr>
        <w:t>sta aiutando</w:t>
      </w:r>
      <w:r w:rsidR="00F12BAF" w:rsidRPr="00AC426B">
        <w:rPr>
          <w:rFonts w:cs="Candara-Bold"/>
          <w:bCs/>
          <w:color w:val="0E233D"/>
          <w:sz w:val="20"/>
          <w:szCs w:val="20"/>
        </w:rPr>
        <w:t xml:space="preserve"> la diffusione di una cultura dell’organizzazione, basata su</w:t>
      </w:r>
      <w:r>
        <w:rPr>
          <w:rFonts w:cs="Candara-Bold"/>
          <w:bCs/>
          <w:color w:val="0E233D"/>
          <w:sz w:val="20"/>
          <w:szCs w:val="20"/>
        </w:rPr>
        <w:t xml:space="preserve"> </w:t>
      </w:r>
      <w:r w:rsidR="00F12BAF" w:rsidRPr="00AC426B">
        <w:rPr>
          <w:rFonts w:cs="Candara-Bold"/>
          <w:bCs/>
          <w:color w:val="0E233D"/>
          <w:sz w:val="20"/>
          <w:szCs w:val="20"/>
        </w:rPr>
        <w:t>assunzione di responsabilità, attenzione alla qualità, trasparenza nelle decisioni, tempestività</w:t>
      </w:r>
      <w:r w:rsidR="008D4F75">
        <w:rPr>
          <w:rFonts w:cs="Candara-Bold"/>
          <w:bCs/>
          <w:color w:val="0E233D"/>
          <w:sz w:val="20"/>
          <w:szCs w:val="20"/>
        </w:rPr>
        <w:t xml:space="preserve"> </w:t>
      </w:r>
      <w:r w:rsidR="00F12BAF" w:rsidRPr="00AC426B">
        <w:rPr>
          <w:rFonts w:cs="Candara-Bold"/>
          <w:bCs/>
          <w:color w:val="0E233D"/>
          <w:sz w:val="20"/>
          <w:szCs w:val="20"/>
        </w:rPr>
        <w:t>nella comunicazione, buona relazione fra i dipendenti che li motivi e permetta loro di fornire performance di alto livello, sviluppando un clima di miglioramento continuo.</w:t>
      </w:r>
    </w:p>
    <w:p w:rsidR="00F12BAF" w:rsidRPr="00AC426B" w:rsidRDefault="00F12BAF" w:rsidP="00F12BAF">
      <w:pPr>
        <w:autoSpaceDE w:val="0"/>
        <w:autoSpaceDN w:val="0"/>
        <w:adjustRightInd w:val="0"/>
        <w:spacing w:after="0" w:line="240" w:lineRule="auto"/>
        <w:jc w:val="both"/>
        <w:rPr>
          <w:rFonts w:cs="Candara-Bold"/>
          <w:bCs/>
          <w:color w:val="0E233D"/>
          <w:sz w:val="20"/>
          <w:szCs w:val="20"/>
        </w:rPr>
      </w:pPr>
      <w:r w:rsidRPr="00AC426B">
        <w:rPr>
          <w:rFonts w:cs="Candara-Bold"/>
          <w:bCs/>
          <w:color w:val="0E233D"/>
          <w:sz w:val="20"/>
          <w:szCs w:val="20"/>
        </w:rPr>
        <w:t>La volontà di assumere il bilancio sociale va nella direzione della massima comunicazione dei risultati raggiunti, analizzando punti di forza e criticità con le prospettive di miglioramento.</w:t>
      </w:r>
    </w:p>
    <w:p w:rsidR="00F12BAF" w:rsidRDefault="00F12BAF" w:rsidP="00F12BAF">
      <w:pPr>
        <w:autoSpaceDE w:val="0"/>
        <w:autoSpaceDN w:val="0"/>
        <w:adjustRightInd w:val="0"/>
        <w:spacing w:after="0" w:line="240" w:lineRule="auto"/>
        <w:jc w:val="both"/>
        <w:rPr>
          <w:rFonts w:cs="Candara-Bold"/>
          <w:bCs/>
          <w:color w:val="0E233D"/>
          <w:sz w:val="20"/>
          <w:szCs w:val="20"/>
        </w:rPr>
      </w:pPr>
      <w:r w:rsidRPr="00AC426B">
        <w:rPr>
          <w:rFonts w:cs="Candara-Bold"/>
          <w:bCs/>
          <w:color w:val="0E233D"/>
          <w:sz w:val="20"/>
          <w:szCs w:val="20"/>
        </w:rPr>
        <w:t xml:space="preserve">L’istituto </w:t>
      </w:r>
      <w:r w:rsidR="00B85B42">
        <w:rPr>
          <w:rFonts w:cs="Candara-Bold"/>
          <w:bCs/>
          <w:color w:val="0E233D"/>
          <w:sz w:val="20"/>
          <w:szCs w:val="20"/>
        </w:rPr>
        <w:t>h</w:t>
      </w:r>
      <w:r w:rsidRPr="00AC426B">
        <w:rPr>
          <w:rFonts w:cs="Candara-Bold"/>
          <w:bCs/>
          <w:color w:val="0E233D"/>
          <w:sz w:val="20"/>
          <w:szCs w:val="20"/>
        </w:rPr>
        <w:t>a partecipa</w:t>
      </w:r>
      <w:r w:rsidR="00B85B42">
        <w:rPr>
          <w:rFonts w:cs="Candara-Bold"/>
          <w:bCs/>
          <w:color w:val="0E233D"/>
          <w:sz w:val="20"/>
          <w:szCs w:val="20"/>
        </w:rPr>
        <w:t>to al RAV nel 2015 e, ora, sta conducendo l’autovalutazione</w:t>
      </w:r>
      <w:r w:rsidRPr="00AC426B">
        <w:rPr>
          <w:rFonts w:cs="Candara-Bold"/>
          <w:bCs/>
          <w:color w:val="0E233D"/>
          <w:sz w:val="20"/>
          <w:szCs w:val="20"/>
        </w:rPr>
        <w:t xml:space="preserve"> </w:t>
      </w:r>
      <w:r w:rsidR="00B85B42">
        <w:rPr>
          <w:rFonts w:cs="Candara-Bold"/>
          <w:bCs/>
          <w:color w:val="0E233D"/>
          <w:sz w:val="20"/>
          <w:szCs w:val="20"/>
        </w:rPr>
        <w:t xml:space="preserve">sperimentale sulla </w:t>
      </w:r>
      <w:r w:rsidRPr="00AC426B">
        <w:rPr>
          <w:rFonts w:cs="Candara-Bold"/>
          <w:bCs/>
          <w:color w:val="0E233D"/>
          <w:sz w:val="20"/>
          <w:szCs w:val="20"/>
        </w:rPr>
        <w:t>scuola d’infanzia</w:t>
      </w:r>
      <w:r w:rsidR="00B85B42">
        <w:rPr>
          <w:rFonts w:cs="Candara-Bold"/>
          <w:bCs/>
          <w:color w:val="0E233D"/>
          <w:sz w:val="20"/>
          <w:szCs w:val="20"/>
        </w:rPr>
        <w:t>.</w:t>
      </w:r>
      <w:r w:rsidRPr="00AC426B">
        <w:rPr>
          <w:rFonts w:cs="Candara-Bold"/>
          <w:bCs/>
          <w:color w:val="0E233D"/>
          <w:sz w:val="20"/>
          <w:szCs w:val="20"/>
        </w:rPr>
        <w:t xml:space="preserve"> Il programma</w:t>
      </w:r>
      <w:r w:rsidR="008D4F75">
        <w:rPr>
          <w:rFonts w:cs="Candara-Bold"/>
          <w:bCs/>
          <w:color w:val="0E233D"/>
          <w:sz w:val="20"/>
          <w:szCs w:val="20"/>
        </w:rPr>
        <w:t xml:space="preserve"> </w:t>
      </w:r>
      <w:r w:rsidRPr="00AC426B">
        <w:rPr>
          <w:rFonts w:cs="Candara-Bold"/>
          <w:bCs/>
          <w:color w:val="0E233D"/>
          <w:sz w:val="20"/>
          <w:szCs w:val="20"/>
        </w:rPr>
        <w:t>per la tr</w:t>
      </w:r>
      <w:r>
        <w:rPr>
          <w:rFonts w:cs="Candara-Bold"/>
          <w:bCs/>
          <w:color w:val="0E233D"/>
          <w:sz w:val="20"/>
          <w:szCs w:val="20"/>
        </w:rPr>
        <w:t>a</w:t>
      </w:r>
      <w:r w:rsidRPr="00AC426B">
        <w:rPr>
          <w:rFonts w:cs="Candara-Bold"/>
          <w:bCs/>
          <w:color w:val="0E233D"/>
          <w:sz w:val="20"/>
          <w:szCs w:val="20"/>
        </w:rPr>
        <w:t xml:space="preserve">sparenza </w:t>
      </w:r>
      <w:r w:rsidR="00B85B42">
        <w:rPr>
          <w:rFonts w:cs="Candara-Bold"/>
          <w:bCs/>
          <w:color w:val="0E233D"/>
          <w:sz w:val="20"/>
          <w:szCs w:val="20"/>
        </w:rPr>
        <w:t>è</w:t>
      </w:r>
      <w:r w:rsidRPr="00AC426B">
        <w:rPr>
          <w:rFonts w:cs="Candara-Bold"/>
          <w:bCs/>
          <w:color w:val="0E233D"/>
          <w:sz w:val="20"/>
          <w:szCs w:val="20"/>
        </w:rPr>
        <w:t xml:space="preserve"> integrato con l’applicazione delle disposizioni previste dalla L. 190/2012</w:t>
      </w:r>
      <w:r w:rsidR="00B85B42">
        <w:rPr>
          <w:rFonts w:cs="Candara-Bold"/>
          <w:bCs/>
          <w:color w:val="0E233D"/>
          <w:sz w:val="20"/>
          <w:szCs w:val="20"/>
        </w:rPr>
        <w:t>,</w:t>
      </w:r>
      <w:r w:rsidRPr="00AC426B">
        <w:rPr>
          <w:rFonts w:cs="Candara-Bold"/>
          <w:bCs/>
          <w:color w:val="0E233D"/>
          <w:sz w:val="20"/>
          <w:szCs w:val="20"/>
        </w:rPr>
        <w:t xml:space="preserve"> piano di prevenzione della corruzione.</w:t>
      </w:r>
    </w:p>
    <w:p w:rsidR="00CA3E7E" w:rsidRPr="00AC426B" w:rsidRDefault="00CA3E7E" w:rsidP="00F12BAF">
      <w:pPr>
        <w:autoSpaceDE w:val="0"/>
        <w:autoSpaceDN w:val="0"/>
        <w:adjustRightInd w:val="0"/>
        <w:spacing w:after="0" w:line="240" w:lineRule="auto"/>
        <w:jc w:val="both"/>
        <w:rPr>
          <w:rFonts w:cs="Candara-Bold"/>
          <w:bCs/>
          <w:color w:val="0E233D"/>
          <w:sz w:val="20"/>
          <w:szCs w:val="20"/>
        </w:rPr>
      </w:pPr>
    </w:p>
    <w:p w:rsidR="00CA3E7E" w:rsidRPr="00A26D1E" w:rsidRDefault="000B1B5D" w:rsidP="00CA3E7E">
      <w:pPr>
        <w:rPr>
          <w:b/>
          <w:color w:val="002060"/>
        </w:rPr>
      </w:pPr>
      <w:r>
        <w:rPr>
          <w:b/>
          <w:color w:val="002060"/>
        </w:rPr>
        <w:t xml:space="preserve">3. </w:t>
      </w:r>
      <w:r w:rsidR="00CA3E7E" w:rsidRPr="00A26D1E">
        <w:rPr>
          <w:b/>
          <w:color w:val="002060"/>
        </w:rPr>
        <w:t>OBIETTIVI STRATEGICI</w:t>
      </w:r>
    </w:p>
    <w:p w:rsidR="00CA3E7E" w:rsidRPr="00E96173" w:rsidRDefault="00CA3E7E" w:rsidP="00CA3E7E">
      <w:r w:rsidRPr="00E96173">
        <w:t>Gli obiettivi strategici del programma sono:</w:t>
      </w:r>
    </w:p>
    <w:p w:rsidR="00CA3E7E" w:rsidRPr="00E96173" w:rsidRDefault="00CA3E7E" w:rsidP="00CA3E7E">
      <w:r w:rsidRPr="00E96173">
        <w:t>a) aumentare il numero degli accessi al sito della scuola;</w:t>
      </w:r>
    </w:p>
    <w:p w:rsidR="00CA3E7E" w:rsidRPr="00E96173" w:rsidRDefault="00CA3E7E" w:rsidP="00CA3E7E">
      <w:r w:rsidRPr="00E96173">
        <w:t>b) diminuire il numero delle comunicazioni verso l’esterno per chiamata diretta, avvisi cartacei etc;</w:t>
      </w:r>
    </w:p>
    <w:p w:rsidR="00CA3E7E" w:rsidRPr="00E96173" w:rsidRDefault="00CA3E7E" w:rsidP="00CA3E7E">
      <w:r w:rsidRPr="00E96173">
        <w:t>c) diminuire il numero delle istanze interne ed esterne e le richieste di informazioni per presenza diretta o per telefono/fax degli interessati;</w:t>
      </w:r>
    </w:p>
    <w:p w:rsidR="00CA3E7E" w:rsidRPr="00E96173" w:rsidRDefault="00CA3E7E" w:rsidP="00CA3E7E">
      <w:r w:rsidRPr="00E96173">
        <w:t>d) aumentare l’impiego della PEO e della PEC per le istanze degli utenti;</w:t>
      </w:r>
    </w:p>
    <w:p w:rsidR="00CA3E7E" w:rsidRPr="00E96173" w:rsidRDefault="00CA3E7E" w:rsidP="00CA3E7E">
      <w:r w:rsidRPr="00E96173">
        <w:t>e) nelle comunicazioni interne, aumentare l’impiego di cartelle condivise e posta elettronica;</w:t>
      </w:r>
    </w:p>
    <w:p w:rsidR="00CA3E7E" w:rsidRPr="00E96173" w:rsidRDefault="00CA3E7E" w:rsidP="00CA3E7E">
      <w:r w:rsidRPr="00E96173">
        <w:t>f) diminuire la quantità di documenti prodotti su supporto cartaceo;</w:t>
      </w:r>
    </w:p>
    <w:p w:rsidR="00CA3E7E" w:rsidRPr="00E96173" w:rsidRDefault="00CA3E7E" w:rsidP="00CA3E7E">
      <w:r w:rsidRPr="00E96173">
        <w:t>g) ridurre i tempi e i costi delle filiere amministrative e informative;</w:t>
      </w:r>
    </w:p>
    <w:p w:rsidR="00CA3E7E" w:rsidRPr="00E96173" w:rsidRDefault="00CA3E7E" w:rsidP="00CA3E7E">
      <w:r w:rsidRPr="00E96173">
        <w:t>h) aumentare il grado di soddisfazione dei clienti;</w:t>
      </w:r>
    </w:p>
    <w:p w:rsidR="00CA3E7E" w:rsidRPr="00E96173" w:rsidRDefault="00CA3E7E" w:rsidP="00CA3E7E">
      <w:r w:rsidRPr="00E96173">
        <w:t>i) innalzare il livello di prevenzione di comportamenti anomali.</w:t>
      </w:r>
    </w:p>
    <w:p w:rsidR="00CA3E7E" w:rsidRPr="00E96173" w:rsidRDefault="00CA3E7E" w:rsidP="00CA3E7E">
      <w:r w:rsidRPr="00E96173">
        <w:t>Con cadenza semestrale si prevedono apposite riunioni cui partecipano oltre al Dirigente Scolastico, il responsabile del sito, il DSGA, i collaboratori del Dirigente Scolastico, i docenti incaricati di Funzione Strumentale nelle quali sarà effettuata la verifica e il monitoraggio sullo stato di avanzamento del Programma e sul raggiungimento degli standard di qualità.</w:t>
      </w:r>
    </w:p>
    <w:p w:rsidR="003E6490" w:rsidRDefault="003E6490" w:rsidP="003E6490">
      <w:r w:rsidRPr="00E96173">
        <w:t>Il presente Programma triennale per la trasparenza e integrità, nello specifico, prevede obiettivi di trasparenza a breve termine (un anno) a medio termine ( due anni ) di lungo periodo (tre anni).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440"/>
      </w:tblGrid>
      <w:tr w:rsidR="003E6490" w:rsidRPr="00E96173" w:rsidTr="00542FF7">
        <w:tc>
          <w:tcPr>
            <w:tcW w:w="7338" w:type="dxa"/>
            <w:shd w:val="clear" w:color="auto" w:fill="DBE5F1"/>
          </w:tcPr>
          <w:p w:rsidR="003E6490" w:rsidRPr="003E6490" w:rsidRDefault="003E6490" w:rsidP="00542FF7">
            <w:pPr>
              <w:ind w:left="720"/>
              <w:contextualSpacing/>
              <w:jc w:val="center"/>
              <w:rPr>
                <w:b/>
              </w:rPr>
            </w:pPr>
            <w:r w:rsidRPr="003E6490">
              <w:rPr>
                <w:b/>
              </w:rPr>
              <w:lastRenderedPageBreak/>
              <w:t>OBIETTIVO</w:t>
            </w:r>
          </w:p>
        </w:tc>
        <w:tc>
          <w:tcPr>
            <w:tcW w:w="2440" w:type="dxa"/>
            <w:shd w:val="clear" w:color="auto" w:fill="DBE5F1"/>
          </w:tcPr>
          <w:p w:rsidR="003E6490" w:rsidRPr="003E6490" w:rsidRDefault="003E6490" w:rsidP="00542FF7">
            <w:pPr>
              <w:ind w:left="720"/>
              <w:contextualSpacing/>
              <w:jc w:val="center"/>
              <w:rPr>
                <w:b/>
              </w:rPr>
            </w:pPr>
            <w:r w:rsidRPr="003E6490">
              <w:rPr>
                <w:b/>
              </w:rPr>
              <w:t>DATA ENTRO CUI ATTUARLO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Adeguamento della pubblicazione di tutta la documentazione e atti “Amministrazione trasparente” ai sensi dell'allegato A del D. lgs. 33/2013 31/12/2016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>
              <w:t>31/12</w:t>
            </w:r>
            <w:r w:rsidRPr="00E96173">
              <w:t>/2016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Sostituzione del protocollo informatico con applicativo più efficace ai fini della dematerializzazione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>
              <w:t>31/12</w:t>
            </w:r>
            <w:r w:rsidRPr="00E96173">
              <w:t>/2016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Dematerializzazione: implementazione di modulistica compilabile su sito web istituzionale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 w:rsidRPr="00E96173">
              <w:t>31/12/2016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Aggiornamento e formazione degli assistenti amministrativi in merito alla pubblicazione degli atti nella sezione "Amministrazione Trasparente"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>
              <w:t>31/12</w:t>
            </w:r>
            <w:r w:rsidRPr="00E96173">
              <w:t>/2016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Rilevazione della Customer Satisfaction tramite questionari di soddisfazione del servizio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 w:rsidRPr="00E96173">
              <w:t>30/06/2017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Dematerializzazione: incrementare archiviazione digitale di alcuni atti (bilanci, documentazione didattica, etc). Il processo in questo ambito è sempre in evoluzione in sintonia con l'emanazione continua di norme in questo settore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 w:rsidRPr="00E96173">
              <w:t>31/12/2018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Dematerializzazione: riduzione archivio cartaceo Didattica Alunni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 w:rsidRPr="00E96173">
              <w:t>31/12/2018</w:t>
            </w:r>
          </w:p>
        </w:tc>
      </w:tr>
      <w:tr w:rsidR="003E6490" w:rsidRPr="00E96173" w:rsidTr="00542FF7">
        <w:tc>
          <w:tcPr>
            <w:tcW w:w="7338" w:type="dxa"/>
          </w:tcPr>
          <w:p w:rsidR="003E6490" w:rsidRPr="00E96173" w:rsidRDefault="003E6490" w:rsidP="00542FF7">
            <w:pPr>
              <w:ind w:left="720"/>
              <w:contextualSpacing/>
            </w:pPr>
            <w:r w:rsidRPr="00E96173">
              <w:t>Archivio informatizzato</w:t>
            </w:r>
          </w:p>
        </w:tc>
        <w:tc>
          <w:tcPr>
            <w:tcW w:w="2440" w:type="dxa"/>
          </w:tcPr>
          <w:p w:rsidR="003E6490" w:rsidRPr="00E96173" w:rsidRDefault="003E6490" w:rsidP="00542FF7">
            <w:pPr>
              <w:ind w:left="720"/>
              <w:contextualSpacing/>
              <w:jc w:val="center"/>
            </w:pPr>
            <w:r w:rsidRPr="00E96173">
              <w:t>31/12/2018</w:t>
            </w:r>
          </w:p>
        </w:tc>
      </w:tr>
    </w:tbl>
    <w:p w:rsidR="003E6490" w:rsidRPr="00E96173" w:rsidRDefault="003E6490" w:rsidP="003E6490"/>
    <w:p w:rsidR="00283808" w:rsidRPr="00CA3E7E" w:rsidRDefault="00283808" w:rsidP="00283808">
      <w:pPr>
        <w:pStyle w:val="Titolo3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110" w:rsidRPr="009678BA" w:rsidRDefault="00283808" w:rsidP="00C01A3D">
      <w:pPr>
        <w:autoSpaceDE w:val="0"/>
        <w:autoSpaceDN w:val="0"/>
        <w:adjustRightInd w:val="0"/>
        <w:spacing w:after="0" w:line="240" w:lineRule="auto"/>
        <w:rPr>
          <w:rFonts w:cs="Aharoni"/>
          <w:b/>
          <w:sz w:val="24"/>
          <w:szCs w:val="24"/>
        </w:rPr>
      </w:pPr>
      <w:r w:rsidRPr="009678BA">
        <w:rPr>
          <w:rFonts w:cs="Aharoni"/>
          <w:b/>
          <w:sz w:val="24"/>
          <w:szCs w:val="24"/>
        </w:rPr>
        <w:t>INIZIATIVE SULLA TRASPARENZA</w:t>
      </w:r>
    </w:p>
    <w:p w:rsidR="009678BA" w:rsidRPr="009678BA" w:rsidRDefault="009678BA" w:rsidP="009678BA">
      <w:pPr>
        <w:autoSpaceDE w:val="0"/>
        <w:autoSpaceDN w:val="0"/>
        <w:adjustRightInd w:val="0"/>
        <w:spacing w:after="0" w:line="240" w:lineRule="auto"/>
        <w:rPr>
          <w:rFonts w:cs="Candara-Bold"/>
          <w:b/>
          <w:bCs/>
          <w:color w:val="0E233D"/>
          <w:sz w:val="20"/>
          <w:szCs w:val="20"/>
        </w:rPr>
      </w:pPr>
      <w:r w:rsidRPr="009678BA">
        <w:rPr>
          <w:rFonts w:cs="Candara-Bold"/>
          <w:b/>
          <w:bCs/>
          <w:color w:val="0E233D"/>
          <w:sz w:val="20"/>
          <w:szCs w:val="20"/>
        </w:rPr>
        <w:t>PUBBLICAZIONE ON LINE DEI DATI</w:t>
      </w:r>
    </w:p>
    <w:p w:rsidR="009678BA" w:rsidRPr="00AC426B" w:rsidRDefault="009678BA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 w:rsidRPr="00AC426B">
        <w:rPr>
          <w:rFonts w:cs="Candara"/>
          <w:color w:val="0E233D"/>
          <w:sz w:val="20"/>
          <w:szCs w:val="20"/>
        </w:rPr>
        <w:t>La pubblicazione dei dati e delle informazioni sul sito istituzionale rispetta le indicazioni contenute nelle Linee guida per i siti web della PA (art.4 direttiva Ministero per la PA e l’innovazione) finalizzate a delineare il processo di sviluppo dei servizi on line al cittadino.</w:t>
      </w:r>
    </w:p>
    <w:p w:rsidR="009678BA" w:rsidRDefault="009678BA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 w:rsidRPr="00AC426B">
        <w:rPr>
          <w:rFonts w:cs="Candara"/>
          <w:color w:val="0E233D"/>
          <w:sz w:val="20"/>
          <w:szCs w:val="20"/>
        </w:rPr>
        <w:t>La sezi</w:t>
      </w:r>
      <w:r>
        <w:rPr>
          <w:rFonts w:cs="Candara"/>
          <w:color w:val="0E233D"/>
          <w:sz w:val="20"/>
          <w:szCs w:val="20"/>
        </w:rPr>
        <w:t xml:space="preserve">one AMMINISTRAZIONE TRASPARENTE, </w:t>
      </w:r>
      <w:r w:rsidRPr="00AC426B">
        <w:rPr>
          <w:rFonts w:cs="Candara"/>
          <w:color w:val="0E233D"/>
          <w:sz w:val="20"/>
          <w:szCs w:val="20"/>
        </w:rPr>
        <w:t>raggiungibile direttamente dalla home page, è organizzata secondo le aree previste dalla del</w:t>
      </w:r>
      <w:r>
        <w:rPr>
          <w:rFonts w:cs="Candara"/>
          <w:color w:val="0E233D"/>
          <w:sz w:val="20"/>
          <w:szCs w:val="20"/>
        </w:rPr>
        <w:t>ibera</w:t>
      </w:r>
      <w:r w:rsidRPr="00AC426B">
        <w:rPr>
          <w:rFonts w:cs="Candara"/>
          <w:color w:val="0E233D"/>
          <w:sz w:val="20"/>
          <w:szCs w:val="20"/>
        </w:rPr>
        <w:t xml:space="preserve"> 105/2010.</w:t>
      </w:r>
    </w:p>
    <w:p w:rsidR="00902005" w:rsidRDefault="00902005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902005" w:rsidRPr="00111EEF" w:rsidRDefault="00AB091C" w:rsidP="00111EEF">
      <w:pPr>
        <w:autoSpaceDE w:val="0"/>
        <w:autoSpaceDN w:val="0"/>
        <w:adjustRightInd w:val="0"/>
        <w:spacing w:after="0" w:line="240" w:lineRule="auto"/>
        <w:rPr>
          <w:rFonts w:cs="Candara"/>
          <w:b/>
          <w:color w:val="0E233D"/>
          <w:sz w:val="24"/>
          <w:szCs w:val="24"/>
        </w:rPr>
      </w:pPr>
      <w:r w:rsidRPr="00111EEF">
        <w:rPr>
          <w:rFonts w:cs="Candara"/>
          <w:b/>
          <w:color w:val="0E233D"/>
          <w:sz w:val="24"/>
          <w:szCs w:val="24"/>
        </w:rPr>
        <w:t xml:space="preserve">OBIETTIVI ATTIVATI NEL TRIENNIO </w:t>
      </w:r>
      <w:r w:rsidR="001B2148" w:rsidRPr="00111EEF">
        <w:rPr>
          <w:rFonts w:cs="Candara"/>
          <w:b/>
          <w:color w:val="0E233D"/>
          <w:sz w:val="24"/>
          <w:szCs w:val="24"/>
        </w:rPr>
        <w:t>__</w:t>
      </w:r>
      <w:r w:rsidR="005C5D16" w:rsidRPr="00111EEF">
        <w:rPr>
          <w:rFonts w:cs="Candara"/>
          <w:b/>
          <w:color w:val="0E233D"/>
          <w:sz w:val="24"/>
          <w:szCs w:val="24"/>
        </w:rPr>
        <w:t>2013/201</w:t>
      </w:r>
      <w:r w:rsidR="00B213E4">
        <w:rPr>
          <w:rFonts w:cs="Candara"/>
          <w:b/>
          <w:color w:val="0E233D"/>
          <w:sz w:val="24"/>
          <w:szCs w:val="24"/>
        </w:rPr>
        <w:t>6</w:t>
      </w:r>
    </w:p>
    <w:p w:rsidR="00AB091C" w:rsidRDefault="00AB091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b/>
          <w:color w:val="0E233D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535"/>
        <w:gridCol w:w="3094"/>
        <w:gridCol w:w="3260"/>
      </w:tblGrid>
      <w:tr w:rsidR="00AB091C" w:rsidTr="005C5D16">
        <w:tc>
          <w:tcPr>
            <w:tcW w:w="3535" w:type="dxa"/>
          </w:tcPr>
          <w:p w:rsidR="00AB091C" w:rsidRDefault="00AB091C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b/>
                <w:color w:val="0E233D"/>
                <w:sz w:val="20"/>
                <w:szCs w:val="20"/>
              </w:rPr>
            </w:pPr>
          </w:p>
        </w:tc>
        <w:tc>
          <w:tcPr>
            <w:tcW w:w="3094" w:type="dxa"/>
          </w:tcPr>
          <w:p w:rsidR="00AB091C" w:rsidRDefault="00AB091C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b/>
                <w:color w:val="0E233D"/>
                <w:sz w:val="20"/>
                <w:szCs w:val="20"/>
              </w:rPr>
            </w:pPr>
            <w:r>
              <w:rPr>
                <w:rFonts w:cs="Candara"/>
                <w:b/>
                <w:color w:val="0E233D"/>
                <w:sz w:val="20"/>
                <w:szCs w:val="20"/>
              </w:rPr>
              <w:t>STATO</w:t>
            </w:r>
          </w:p>
        </w:tc>
        <w:tc>
          <w:tcPr>
            <w:tcW w:w="3260" w:type="dxa"/>
          </w:tcPr>
          <w:p w:rsidR="00AB091C" w:rsidRDefault="00AB091C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b/>
                <w:color w:val="0E233D"/>
                <w:sz w:val="20"/>
                <w:szCs w:val="20"/>
              </w:rPr>
            </w:pPr>
            <w:r>
              <w:rPr>
                <w:rFonts w:cs="Candara"/>
                <w:b/>
                <w:color w:val="0E233D"/>
                <w:sz w:val="20"/>
                <w:szCs w:val="20"/>
              </w:rPr>
              <w:t>PUBBLICAZIONE</w:t>
            </w:r>
          </w:p>
        </w:tc>
      </w:tr>
      <w:tr w:rsidR="00AB091C" w:rsidTr="005C5D16">
        <w:tc>
          <w:tcPr>
            <w:tcW w:w="3535" w:type="dxa"/>
          </w:tcPr>
          <w:p w:rsidR="00AB091C" w:rsidRDefault="00AB091C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b/>
                <w:color w:val="0E233D"/>
                <w:sz w:val="20"/>
                <w:szCs w:val="20"/>
              </w:rPr>
            </w:pPr>
            <w:r>
              <w:rPr>
                <w:rFonts w:cs="Candara"/>
                <w:b/>
                <w:color w:val="0E233D"/>
                <w:sz w:val="20"/>
                <w:szCs w:val="20"/>
              </w:rPr>
              <w:t>Programma triennale trasparenza</w:t>
            </w:r>
          </w:p>
        </w:tc>
        <w:tc>
          <w:tcPr>
            <w:tcW w:w="3094" w:type="dxa"/>
          </w:tcPr>
          <w:p w:rsidR="00AB091C" w:rsidRPr="0045424F" w:rsidRDefault="00AB091C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 w:rsidRPr="0045424F">
              <w:rPr>
                <w:rFonts w:cs="Candara"/>
                <w:color w:val="0E233D"/>
                <w:sz w:val="20"/>
                <w:szCs w:val="20"/>
              </w:rPr>
              <w:t>Approvare la revisione triennale</w:t>
            </w:r>
          </w:p>
        </w:tc>
        <w:tc>
          <w:tcPr>
            <w:tcW w:w="3260" w:type="dxa"/>
          </w:tcPr>
          <w:p w:rsidR="00AB091C" w:rsidRDefault="00AB091C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b/>
                <w:color w:val="0E233D"/>
                <w:sz w:val="20"/>
                <w:szCs w:val="20"/>
              </w:rPr>
            </w:pPr>
          </w:p>
        </w:tc>
      </w:tr>
    </w:tbl>
    <w:p w:rsidR="00AB091C" w:rsidRDefault="00AB091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b/>
          <w:color w:val="0E233D"/>
          <w:sz w:val="20"/>
          <w:szCs w:val="20"/>
        </w:rPr>
      </w:pPr>
    </w:p>
    <w:p w:rsidR="001B2148" w:rsidRDefault="0045424F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ORGANIZZAZIONE E PROCEDIMENTI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45424F" w:rsidTr="005C5D16">
        <w:tc>
          <w:tcPr>
            <w:tcW w:w="5303" w:type="dxa"/>
          </w:tcPr>
          <w:p w:rsidR="0045424F" w:rsidRDefault="0045424F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45424F" w:rsidRDefault="0045424F" w:rsidP="0045424F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45424F" w:rsidTr="005C5D16">
        <w:tc>
          <w:tcPr>
            <w:tcW w:w="5303" w:type="dxa"/>
          </w:tcPr>
          <w:p w:rsidR="0045424F" w:rsidRDefault="0045424F" w:rsidP="001B2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 xml:space="preserve">Informazioni concernenti ogni aspetto dell’organizzazione (organigramma, articolazione degli uffici </w:t>
            </w:r>
            <w:r w:rsidR="001B2148">
              <w:rPr>
                <w:rFonts w:cs="Candara"/>
                <w:color w:val="0E233D"/>
                <w:sz w:val="20"/>
                <w:szCs w:val="20"/>
              </w:rPr>
              <w:t>(responsabili, attività svolta)</w:t>
            </w:r>
          </w:p>
        </w:tc>
        <w:tc>
          <w:tcPr>
            <w:tcW w:w="4586" w:type="dxa"/>
          </w:tcPr>
          <w:p w:rsidR="0045424F" w:rsidRDefault="001B2148" w:rsidP="0045424F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</w:t>
            </w:r>
            <w:r w:rsidR="0045424F">
              <w:rPr>
                <w:rFonts w:cs="Candara"/>
                <w:color w:val="0E233D"/>
                <w:sz w:val="20"/>
                <w:szCs w:val="20"/>
              </w:rPr>
              <w:t>ttivato</w:t>
            </w:r>
          </w:p>
        </w:tc>
      </w:tr>
      <w:tr w:rsidR="0045424F" w:rsidTr="005C5D16">
        <w:tc>
          <w:tcPr>
            <w:tcW w:w="5303" w:type="dxa"/>
          </w:tcPr>
          <w:p w:rsidR="0045424F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Casella di posta elettronica istituzionale</w:t>
            </w:r>
          </w:p>
        </w:tc>
        <w:tc>
          <w:tcPr>
            <w:tcW w:w="4586" w:type="dxa"/>
          </w:tcPr>
          <w:p w:rsidR="0045424F" w:rsidRDefault="001B2148" w:rsidP="001B2148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45424F" w:rsidTr="005C5D16">
        <w:tc>
          <w:tcPr>
            <w:tcW w:w="5303" w:type="dxa"/>
          </w:tcPr>
          <w:p w:rsidR="0045424F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Casella di posta elettronica certificata</w:t>
            </w:r>
          </w:p>
        </w:tc>
        <w:tc>
          <w:tcPr>
            <w:tcW w:w="4586" w:type="dxa"/>
          </w:tcPr>
          <w:p w:rsidR="0045424F" w:rsidRDefault="001B2148" w:rsidP="0045424F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45424F" w:rsidTr="005C5D16">
        <w:tc>
          <w:tcPr>
            <w:tcW w:w="5303" w:type="dxa"/>
          </w:tcPr>
          <w:p w:rsidR="0045424F" w:rsidRDefault="001B2148" w:rsidP="001B2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Procedimenti svolti dagli uffici, termini del procedimento, responsabile</w:t>
            </w:r>
          </w:p>
        </w:tc>
        <w:tc>
          <w:tcPr>
            <w:tcW w:w="4586" w:type="dxa"/>
          </w:tcPr>
          <w:p w:rsidR="0045424F" w:rsidRDefault="001B2148" w:rsidP="0045424F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45424F" w:rsidTr="005C5D16">
        <w:tc>
          <w:tcPr>
            <w:tcW w:w="5303" w:type="dxa"/>
          </w:tcPr>
          <w:p w:rsidR="0045424F" w:rsidRDefault="001B2148" w:rsidP="001B2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Scadenze e modalità di adempimento dei procediementi artt. 2-4 L.- 241/90</w:t>
            </w:r>
          </w:p>
        </w:tc>
        <w:tc>
          <w:tcPr>
            <w:tcW w:w="4586" w:type="dxa"/>
          </w:tcPr>
          <w:p w:rsidR="0045424F" w:rsidRDefault="001B2148" w:rsidP="0045424F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45424F" w:rsidTr="005C5D16">
        <w:tc>
          <w:tcPr>
            <w:tcW w:w="5303" w:type="dxa"/>
          </w:tcPr>
          <w:p w:rsidR="0045424F" w:rsidRDefault="0045424F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</w:p>
        </w:tc>
        <w:tc>
          <w:tcPr>
            <w:tcW w:w="4586" w:type="dxa"/>
          </w:tcPr>
          <w:p w:rsidR="0045424F" w:rsidRDefault="0045424F" w:rsidP="0045424F">
            <w:pPr>
              <w:autoSpaceDE w:val="0"/>
              <w:autoSpaceDN w:val="0"/>
              <w:adjustRightInd w:val="0"/>
              <w:spacing w:after="0" w:line="240" w:lineRule="auto"/>
              <w:rPr>
                <w:rFonts w:cs="Candara"/>
                <w:color w:val="0E233D"/>
                <w:sz w:val="20"/>
                <w:szCs w:val="20"/>
              </w:rPr>
            </w:pPr>
          </w:p>
        </w:tc>
      </w:tr>
    </w:tbl>
    <w:p w:rsidR="0045424F" w:rsidRDefault="0045424F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1B2148" w:rsidRDefault="001B214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SERVIZI EROGATI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1B2148" w:rsidTr="005C5D16">
        <w:tc>
          <w:tcPr>
            <w:tcW w:w="5303" w:type="dxa"/>
          </w:tcPr>
          <w:p w:rsidR="001B2148" w:rsidRDefault="001B2148" w:rsidP="001B2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1B2148" w:rsidTr="005C5D16">
        <w:tc>
          <w:tcPr>
            <w:tcW w:w="5303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Carta dei servizi</w:t>
            </w:r>
          </w:p>
        </w:tc>
        <w:tc>
          <w:tcPr>
            <w:tcW w:w="4586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1B2148" w:rsidTr="005C5D16">
        <w:tc>
          <w:tcPr>
            <w:tcW w:w="5303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PTOF</w:t>
            </w:r>
          </w:p>
        </w:tc>
        <w:tc>
          <w:tcPr>
            <w:tcW w:w="4586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1B2148" w:rsidTr="005C5D16">
        <w:tc>
          <w:tcPr>
            <w:tcW w:w="5303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PROGETTI</w:t>
            </w:r>
          </w:p>
        </w:tc>
        <w:tc>
          <w:tcPr>
            <w:tcW w:w="4586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1B2148" w:rsidTr="005C5D16">
        <w:tc>
          <w:tcPr>
            <w:tcW w:w="5303" w:type="dxa"/>
          </w:tcPr>
          <w:p w:rsidR="001B2148" w:rsidRDefault="001B214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REGISTRI ON-LINE</w:t>
            </w:r>
          </w:p>
        </w:tc>
        <w:tc>
          <w:tcPr>
            <w:tcW w:w="4586" w:type="dxa"/>
          </w:tcPr>
          <w:p w:rsidR="005C5D16" w:rsidRDefault="001B2148" w:rsidP="005C5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 per la scuola secondaria di primo grado oltre a 2 plessi</w:t>
            </w:r>
            <w:r w:rsidR="005C5D16">
              <w:rPr>
                <w:rFonts w:cs="Candara"/>
                <w:color w:val="0E233D"/>
                <w:sz w:val="20"/>
                <w:szCs w:val="20"/>
              </w:rPr>
              <w:t xml:space="preserve"> di scuola primaria. </w:t>
            </w:r>
          </w:p>
          <w:p w:rsidR="005C5D16" w:rsidRDefault="005C5D16" w:rsidP="005C5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Dall’a.s. 2016/17 in tutti i plessi</w:t>
            </w:r>
          </w:p>
        </w:tc>
      </w:tr>
    </w:tbl>
    <w:p w:rsidR="001B2148" w:rsidRDefault="005C5D16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lastRenderedPageBreak/>
        <w:t>PERSONALE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Curriculum dirigente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Non attivato</w:t>
            </w:r>
          </w:p>
        </w:tc>
      </w:tr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Curricula titolari di posizioni aggiuntive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Non attivato</w:t>
            </w:r>
          </w:p>
        </w:tc>
      </w:tr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Tassi di assenza e maggior presenza del personale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Differenziazione utilizzo premialità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In attuazione</w:t>
            </w:r>
          </w:p>
        </w:tc>
      </w:tr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Codici di comportamento disciplinare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</w:tbl>
    <w:p w:rsidR="005C5D16" w:rsidRDefault="005C5D16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5C5D16" w:rsidRDefault="005C5D16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INCARICHI E CONSULENZE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5C5D16" w:rsidTr="005C5D16">
        <w:tc>
          <w:tcPr>
            <w:tcW w:w="5303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Bandi di gara</w:t>
            </w:r>
          </w:p>
        </w:tc>
        <w:tc>
          <w:tcPr>
            <w:tcW w:w="4586" w:type="dxa"/>
          </w:tcPr>
          <w:p w:rsidR="005C5D16" w:rsidRDefault="005C5D16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5C5D16" w:rsidTr="005C5D16">
        <w:tc>
          <w:tcPr>
            <w:tcW w:w="5303" w:type="dxa"/>
          </w:tcPr>
          <w:p w:rsidR="005C5D16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I</w:t>
            </w:r>
            <w:r w:rsidR="005C5D16">
              <w:rPr>
                <w:rFonts w:cs="Candara"/>
                <w:color w:val="0E233D"/>
                <w:sz w:val="20"/>
                <w:szCs w:val="20"/>
              </w:rPr>
              <w:t>ncarichi re</w:t>
            </w:r>
            <w:r>
              <w:rPr>
                <w:rFonts w:cs="Candara"/>
                <w:color w:val="0E233D"/>
                <w:sz w:val="20"/>
                <w:szCs w:val="20"/>
              </w:rPr>
              <w:t>tribuiti e non conferiti o autorizzati ai propri dipendenti</w:t>
            </w:r>
          </w:p>
        </w:tc>
        <w:tc>
          <w:tcPr>
            <w:tcW w:w="4586" w:type="dxa"/>
          </w:tcPr>
          <w:p w:rsidR="005C5D16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5C5D16" w:rsidTr="005C5D16">
        <w:tc>
          <w:tcPr>
            <w:tcW w:w="5303" w:type="dxa"/>
          </w:tcPr>
          <w:p w:rsidR="005C5D16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Incarichi ai dipendenti di un’altra amministrazione</w:t>
            </w:r>
          </w:p>
        </w:tc>
        <w:tc>
          <w:tcPr>
            <w:tcW w:w="4586" w:type="dxa"/>
          </w:tcPr>
          <w:p w:rsidR="005C5D16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5C5D16" w:rsidTr="005C5D16">
        <w:tc>
          <w:tcPr>
            <w:tcW w:w="5303" w:type="dxa"/>
          </w:tcPr>
          <w:p w:rsidR="005C5D16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Incarichi da una amministrazione a soggetti esterni</w:t>
            </w:r>
          </w:p>
        </w:tc>
        <w:tc>
          <w:tcPr>
            <w:tcW w:w="4586" w:type="dxa"/>
          </w:tcPr>
          <w:p w:rsidR="005C5D16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</w:tbl>
    <w:p w:rsidR="005C5D16" w:rsidRDefault="005C5D16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6040D8" w:rsidRDefault="006040D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GESTIONE ECONOMICO-FINANZIARIA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Programma annuale-consuntivo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Contratti integrativi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Dati concernenti reti, consorzi, enti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Pagamenti – indicatore tempestività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</w:tbl>
    <w:p w:rsidR="006040D8" w:rsidRDefault="006040D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6040D8" w:rsidRDefault="006040D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BUONE PRASSI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6040D8" w:rsidTr="006040D8">
        <w:tc>
          <w:tcPr>
            <w:tcW w:w="5303" w:type="dxa"/>
          </w:tcPr>
          <w:p w:rsidR="006040D8" w:rsidRDefault="006040D8" w:rsidP="00604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Tempi per adozione provvedimenti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Non attivato</w:t>
            </w:r>
          </w:p>
        </w:tc>
      </w:tr>
      <w:tr w:rsidR="006040D8" w:rsidTr="006040D8">
        <w:tc>
          <w:tcPr>
            <w:tcW w:w="5303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Sovvenzioni, contributi, crediti</w:t>
            </w:r>
          </w:p>
        </w:tc>
        <w:tc>
          <w:tcPr>
            <w:tcW w:w="4586" w:type="dxa"/>
          </w:tcPr>
          <w:p w:rsidR="006040D8" w:rsidRDefault="006040D8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</w:tbl>
    <w:p w:rsidR="006040D8" w:rsidRDefault="006040D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6040D8" w:rsidRDefault="006040D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DATI UTILI A SODDISFARE ESIGENZE INFORMATIVE E EDI TRASPARENZA DEGLI STAKEHOLDER</w:t>
      </w:r>
    </w:p>
    <w:tbl>
      <w:tblPr>
        <w:tblStyle w:val="Grigliatabella"/>
        <w:tblW w:w="0" w:type="auto"/>
        <w:tblLook w:val="04A0"/>
      </w:tblPr>
      <w:tblGrid>
        <w:gridCol w:w="5303"/>
        <w:gridCol w:w="4586"/>
      </w:tblGrid>
      <w:tr w:rsidR="006040D8" w:rsidTr="00D33439">
        <w:tc>
          <w:tcPr>
            <w:tcW w:w="5303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DESCRIZIONE</w:t>
            </w:r>
          </w:p>
        </w:tc>
        <w:tc>
          <w:tcPr>
            <w:tcW w:w="4586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STATO</w:t>
            </w:r>
          </w:p>
        </w:tc>
      </w:tr>
      <w:tr w:rsidR="006040D8" w:rsidTr="00D33439">
        <w:tc>
          <w:tcPr>
            <w:tcW w:w="5303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Indagini</w:t>
            </w:r>
          </w:p>
        </w:tc>
        <w:tc>
          <w:tcPr>
            <w:tcW w:w="4586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6040D8" w:rsidTr="00D33439">
        <w:tc>
          <w:tcPr>
            <w:tcW w:w="5303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Dati relativi a studenti e personale</w:t>
            </w:r>
          </w:p>
        </w:tc>
        <w:tc>
          <w:tcPr>
            <w:tcW w:w="4586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  <w:tr w:rsidR="006040D8" w:rsidTr="00D33439">
        <w:tc>
          <w:tcPr>
            <w:tcW w:w="5303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Attività orientamento per SS 2° grado</w:t>
            </w:r>
          </w:p>
        </w:tc>
        <w:tc>
          <w:tcPr>
            <w:tcW w:w="4586" w:type="dxa"/>
          </w:tcPr>
          <w:p w:rsidR="006040D8" w:rsidRDefault="00B213E4" w:rsidP="00B2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Non a</w:t>
            </w:r>
            <w:r w:rsidR="00D33439">
              <w:rPr>
                <w:rFonts w:cs="Candara"/>
                <w:color w:val="0E233D"/>
                <w:sz w:val="20"/>
                <w:szCs w:val="20"/>
              </w:rPr>
              <w:t>ttivato</w:t>
            </w:r>
          </w:p>
        </w:tc>
      </w:tr>
      <w:tr w:rsidR="006040D8" w:rsidTr="00D33439">
        <w:tc>
          <w:tcPr>
            <w:tcW w:w="5303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Gestione sicurezza</w:t>
            </w:r>
          </w:p>
        </w:tc>
        <w:tc>
          <w:tcPr>
            <w:tcW w:w="4586" w:type="dxa"/>
          </w:tcPr>
          <w:p w:rsidR="006040D8" w:rsidRDefault="00D33439" w:rsidP="009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ndara"/>
                <w:color w:val="0E233D"/>
                <w:sz w:val="20"/>
                <w:szCs w:val="20"/>
              </w:rPr>
            </w:pPr>
            <w:r>
              <w:rPr>
                <w:rFonts w:cs="Candara"/>
                <w:color w:val="0E233D"/>
                <w:sz w:val="20"/>
                <w:szCs w:val="20"/>
              </w:rPr>
              <w:t>Attivato</w:t>
            </w:r>
          </w:p>
        </w:tc>
      </w:tr>
    </w:tbl>
    <w:p w:rsidR="006040D8" w:rsidRDefault="006040D8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E9316F" w:rsidRDefault="00E9316F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INDIVIDUAZIONE DEI RESPONSABILI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Responsabile della trasparenza e della prevenzione della corruzione è il Dirigente Scolastico che esercita l’attività di controllo finalizzato al rispetto della normativa vigente all’adempimento degli obblighi di pubblicazione e provvede all’aggiornamento del Programma triennale trasparenza e integrità, oltre che a favorire iniziative di promozione della trasparenza  ai sensi dell’art. 43 cap. V del D.Lgs 33/2013 e in rapporto con il Piano anticorruzione.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Per quanto attiene ai dati di competenza di ciascun settore, all’interno degli stessi sono individuati i responsabili che si occupano dell’inserimento manuale sul sito istituzionale della scuola: Anghileri Donatella, Grisoldi Miriam, Masolini Carla, Puppato Neda, Zanolli Cristina. La verifica dell’esecuzione delle attività programmate è effetuata semestralmente dal Direttore SGA.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b/>
          <w:color w:val="0E233D"/>
          <w:sz w:val="24"/>
          <w:szCs w:val="24"/>
        </w:rPr>
      </w:pPr>
      <w:r w:rsidRPr="0014648C">
        <w:rPr>
          <w:rFonts w:cs="Candara"/>
          <w:b/>
          <w:color w:val="0E233D"/>
          <w:sz w:val="24"/>
          <w:szCs w:val="24"/>
        </w:rPr>
        <w:t xml:space="preserve">4 </w:t>
      </w:r>
      <w:r>
        <w:rPr>
          <w:rFonts w:cs="Candara"/>
          <w:b/>
          <w:color w:val="0E233D"/>
          <w:sz w:val="24"/>
          <w:szCs w:val="24"/>
        </w:rPr>
        <w:t>–</w:t>
      </w:r>
      <w:r w:rsidRPr="0014648C">
        <w:rPr>
          <w:rFonts w:cs="Candara"/>
          <w:b/>
          <w:color w:val="0E233D"/>
          <w:sz w:val="24"/>
          <w:szCs w:val="24"/>
        </w:rPr>
        <w:t xml:space="preserve"> </w:t>
      </w:r>
      <w:r>
        <w:rPr>
          <w:rFonts w:cs="Candara"/>
          <w:b/>
          <w:color w:val="0E233D"/>
          <w:sz w:val="24"/>
          <w:szCs w:val="24"/>
        </w:rPr>
        <w:t>DIFFUSIONE DEL PTTI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 w:rsidRPr="0014648C">
        <w:rPr>
          <w:rFonts w:cs="Candara"/>
          <w:color w:val="0E233D"/>
          <w:sz w:val="20"/>
          <w:szCs w:val="20"/>
        </w:rPr>
        <w:t>Il</w:t>
      </w:r>
      <w:r>
        <w:rPr>
          <w:rFonts w:cs="Candara"/>
          <w:color w:val="0E233D"/>
          <w:sz w:val="20"/>
          <w:szCs w:val="20"/>
        </w:rPr>
        <w:t xml:space="preserve"> presente Programma e i suoi contenuti vengono diffusi: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- mediante pubblicazione sul sito web della scuola;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>- discussione nell’ambito degli OO.CC.</w:t>
      </w: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</w:p>
    <w:p w:rsidR="0014648C" w:rsidRDefault="0014648C" w:rsidP="009678BA">
      <w:pPr>
        <w:autoSpaceDE w:val="0"/>
        <w:autoSpaceDN w:val="0"/>
        <w:adjustRightInd w:val="0"/>
        <w:spacing w:after="0" w:line="240" w:lineRule="auto"/>
        <w:jc w:val="both"/>
        <w:rPr>
          <w:rFonts w:cs="Candara"/>
          <w:color w:val="0E233D"/>
          <w:sz w:val="20"/>
          <w:szCs w:val="20"/>
        </w:rPr>
      </w:pPr>
      <w:r>
        <w:rPr>
          <w:rFonts w:cs="Candara"/>
          <w:color w:val="0E233D"/>
          <w:sz w:val="20"/>
          <w:szCs w:val="20"/>
        </w:rPr>
        <w:t xml:space="preserve">Prot.  </w:t>
      </w:r>
      <w:r w:rsidR="00B213E4">
        <w:rPr>
          <w:rFonts w:cs="Candara"/>
          <w:color w:val="0E233D"/>
          <w:sz w:val="20"/>
          <w:szCs w:val="20"/>
        </w:rPr>
        <w:t>2709/A6</w:t>
      </w:r>
      <w:r>
        <w:rPr>
          <w:rFonts w:cs="Candara"/>
          <w:color w:val="0E233D"/>
          <w:sz w:val="20"/>
          <w:szCs w:val="20"/>
        </w:rPr>
        <w:t xml:space="preserve"> del 29.06.2016                               Approvato dal Consiglio di Istituto in data 29.05.2016 </w:t>
      </w:r>
    </w:p>
    <w:sectPr w:rsidR="0014648C" w:rsidSect="005101EC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668" w:rsidRDefault="00715668" w:rsidP="005101EC">
      <w:pPr>
        <w:spacing w:after="0" w:line="240" w:lineRule="auto"/>
      </w:pPr>
      <w:r>
        <w:separator/>
      </w:r>
    </w:p>
  </w:endnote>
  <w:endnote w:type="continuationSeparator" w:id="1">
    <w:p w:rsidR="00715668" w:rsidRDefault="00715668" w:rsidP="0051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ndar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668" w:rsidRDefault="00715668" w:rsidP="005101EC">
      <w:pPr>
        <w:spacing w:after="0" w:line="240" w:lineRule="auto"/>
      </w:pPr>
      <w:r>
        <w:separator/>
      </w:r>
    </w:p>
  </w:footnote>
  <w:footnote w:type="continuationSeparator" w:id="1">
    <w:p w:rsidR="00715668" w:rsidRDefault="00715668" w:rsidP="0051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4BA9"/>
    <w:multiLevelType w:val="multilevel"/>
    <w:tmpl w:val="9BE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30463"/>
    <w:multiLevelType w:val="hybridMultilevel"/>
    <w:tmpl w:val="7F58DF96"/>
    <w:lvl w:ilvl="0" w:tplc="59940072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30D88"/>
    <w:multiLevelType w:val="hybridMultilevel"/>
    <w:tmpl w:val="44A043F4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4A67"/>
    <w:multiLevelType w:val="hybridMultilevel"/>
    <w:tmpl w:val="2C9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259FD"/>
    <w:multiLevelType w:val="hybridMultilevel"/>
    <w:tmpl w:val="7CA669AC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03693"/>
    <w:multiLevelType w:val="hybridMultilevel"/>
    <w:tmpl w:val="1AC8E8C0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F07"/>
    <w:rsid w:val="00075FA9"/>
    <w:rsid w:val="000A4F4C"/>
    <w:rsid w:val="000B1AE1"/>
    <w:rsid w:val="000B1B5D"/>
    <w:rsid w:val="000D43AE"/>
    <w:rsid w:val="00100CBC"/>
    <w:rsid w:val="00111EEF"/>
    <w:rsid w:val="0014648C"/>
    <w:rsid w:val="00154111"/>
    <w:rsid w:val="001676C1"/>
    <w:rsid w:val="0018274C"/>
    <w:rsid w:val="001A20B7"/>
    <w:rsid w:val="001B2148"/>
    <w:rsid w:val="001D623B"/>
    <w:rsid w:val="001F3861"/>
    <w:rsid w:val="001F70CE"/>
    <w:rsid w:val="00254695"/>
    <w:rsid w:val="002671D4"/>
    <w:rsid w:val="00283808"/>
    <w:rsid w:val="0028541C"/>
    <w:rsid w:val="002C0A0F"/>
    <w:rsid w:val="002C290A"/>
    <w:rsid w:val="002C34DB"/>
    <w:rsid w:val="002C59CF"/>
    <w:rsid w:val="002E4F0C"/>
    <w:rsid w:val="003E324B"/>
    <w:rsid w:val="003E6490"/>
    <w:rsid w:val="00406F4D"/>
    <w:rsid w:val="00434F35"/>
    <w:rsid w:val="0045424F"/>
    <w:rsid w:val="004A4C6D"/>
    <w:rsid w:val="004B7292"/>
    <w:rsid w:val="004D6A1A"/>
    <w:rsid w:val="0050698C"/>
    <w:rsid w:val="005101EC"/>
    <w:rsid w:val="00513611"/>
    <w:rsid w:val="00542FF7"/>
    <w:rsid w:val="00546158"/>
    <w:rsid w:val="00574FE2"/>
    <w:rsid w:val="00576DE6"/>
    <w:rsid w:val="005A63A5"/>
    <w:rsid w:val="005C5D16"/>
    <w:rsid w:val="005C6DAA"/>
    <w:rsid w:val="005D7EC0"/>
    <w:rsid w:val="005E070C"/>
    <w:rsid w:val="006040D8"/>
    <w:rsid w:val="00614E31"/>
    <w:rsid w:val="006247AE"/>
    <w:rsid w:val="0064459A"/>
    <w:rsid w:val="00660366"/>
    <w:rsid w:val="006604AD"/>
    <w:rsid w:val="006873B3"/>
    <w:rsid w:val="00691EE0"/>
    <w:rsid w:val="007118B7"/>
    <w:rsid w:val="00715668"/>
    <w:rsid w:val="007979FA"/>
    <w:rsid w:val="007C7D97"/>
    <w:rsid w:val="007E7284"/>
    <w:rsid w:val="007F5680"/>
    <w:rsid w:val="008D43D6"/>
    <w:rsid w:val="008D4F75"/>
    <w:rsid w:val="008E4D84"/>
    <w:rsid w:val="00902005"/>
    <w:rsid w:val="009374D9"/>
    <w:rsid w:val="009678BA"/>
    <w:rsid w:val="00A3599C"/>
    <w:rsid w:val="00A72013"/>
    <w:rsid w:val="00A744F8"/>
    <w:rsid w:val="00AB05F3"/>
    <w:rsid w:val="00AB091C"/>
    <w:rsid w:val="00AC426B"/>
    <w:rsid w:val="00AF19E2"/>
    <w:rsid w:val="00B01075"/>
    <w:rsid w:val="00B03F44"/>
    <w:rsid w:val="00B213E4"/>
    <w:rsid w:val="00B85B42"/>
    <w:rsid w:val="00BA0ADA"/>
    <w:rsid w:val="00C01A3D"/>
    <w:rsid w:val="00C14C5C"/>
    <w:rsid w:val="00C6303F"/>
    <w:rsid w:val="00CA3E7E"/>
    <w:rsid w:val="00CB7161"/>
    <w:rsid w:val="00CB77D1"/>
    <w:rsid w:val="00CC5286"/>
    <w:rsid w:val="00CF673E"/>
    <w:rsid w:val="00D33439"/>
    <w:rsid w:val="00D569B8"/>
    <w:rsid w:val="00D877FE"/>
    <w:rsid w:val="00D909DD"/>
    <w:rsid w:val="00D943E5"/>
    <w:rsid w:val="00DC1C67"/>
    <w:rsid w:val="00E70110"/>
    <w:rsid w:val="00E91635"/>
    <w:rsid w:val="00E9316F"/>
    <w:rsid w:val="00E97946"/>
    <w:rsid w:val="00EF0F93"/>
    <w:rsid w:val="00F12BAF"/>
    <w:rsid w:val="00F35F07"/>
    <w:rsid w:val="00F7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70C"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qFormat/>
    <w:rsid w:val="00283808"/>
    <w:pPr>
      <w:spacing w:before="100" w:beforeAutospacing="1" w:after="100" w:afterAutospacing="1" w:line="276" w:lineRule="auto"/>
      <w:outlineLvl w:val="2"/>
    </w:pPr>
    <w:rPr>
      <w:rFonts w:eastAsia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76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7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F3861"/>
    <w:pPr>
      <w:ind w:left="720"/>
      <w:contextualSpacing/>
    </w:pPr>
  </w:style>
  <w:style w:type="character" w:styleId="Collegamentoipertestuale">
    <w:name w:val="Hyperlink"/>
    <w:uiPriority w:val="99"/>
    <w:unhideWhenUsed/>
    <w:rsid w:val="006604AD"/>
    <w:rPr>
      <w:color w:val="0563C1"/>
      <w:u w:val="single"/>
    </w:rPr>
  </w:style>
  <w:style w:type="paragraph" w:styleId="Titolo">
    <w:name w:val="Title"/>
    <w:aliases w:val=" Carattere"/>
    <w:basedOn w:val="Normale"/>
    <w:link w:val="TitoloCarattere"/>
    <w:qFormat/>
    <w:rsid w:val="005101EC"/>
    <w:pPr>
      <w:spacing w:after="0" w:line="240" w:lineRule="auto"/>
      <w:jc w:val="center"/>
    </w:pPr>
    <w:rPr>
      <w:rFonts w:ascii="Exotc350 DmBd BT" w:eastAsia="Times New Roman" w:hAnsi="Exotc350 DmBd BT"/>
      <w:smallCaps/>
      <w:sz w:val="28"/>
      <w:szCs w:val="20"/>
      <w:lang w:eastAsia="it-IT"/>
    </w:rPr>
  </w:style>
  <w:style w:type="character" w:customStyle="1" w:styleId="TitoloCarattere">
    <w:name w:val="Titolo Carattere"/>
    <w:aliases w:val=" Carattere Carattere"/>
    <w:link w:val="Titolo"/>
    <w:rsid w:val="005101EC"/>
    <w:rPr>
      <w:rFonts w:ascii="Exotc350 DmBd BT" w:eastAsia="Times New Roman" w:hAnsi="Exotc350 DmBd BT" w:cs="Times New Roman"/>
      <w:smallCaps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101E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link w:val="Sottotitolo"/>
    <w:rsid w:val="005101E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510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1EC"/>
  </w:style>
  <w:style w:type="paragraph" w:styleId="Pidipagina">
    <w:name w:val="footer"/>
    <w:basedOn w:val="Normale"/>
    <w:link w:val="PidipaginaCarattere"/>
    <w:uiPriority w:val="99"/>
    <w:unhideWhenUsed/>
    <w:rsid w:val="00510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1EC"/>
  </w:style>
  <w:style w:type="character" w:customStyle="1" w:styleId="Titolo3Carattere">
    <w:name w:val="Titolo 3 Carattere"/>
    <w:link w:val="Titolo3"/>
    <w:rsid w:val="00283808"/>
    <w:rPr>
      <w:rFonts w:ascii="Calibri" w:eastAsia="Times New Roman" w:hAnsi="Calibri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rsid w:val="00283808"/>
    <w:pPr>
      <w:spacing w:before="100" w:beforeAutospacing="1" w:after="100" w:afterAutospacing="1" w:line="276" w:lineRule="auto"/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9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c805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ic805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fausta svanella</dc:creator>
  <cp:lastModifiedBy>SEGRETERIA7</cp:lastModifiedBy>
  <cp:revision>13</cp:revision>
  <cp:lastPrinted>2016-05-28T08:20:00Z</cp:lastPrinted>
  <dcterms:created xsi:type="dcterms:W3CDTF">2016-05-28T10:18:00Z</dcterms:created>
  <dcterms:modified xsi:type="dcterms:W3CDTF">2016-06-30T08:16:00Z</dcterms:modified>
</cp:coreProperties>
</file>